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DA3220" w14:textId="397DF2F4" w:rsidR="0075069C" w:rsidRPr="00572BF7" w:rsidRDefault="0075069C" w:rsidP="0075069C">
      <w:pPr>
        <w:pStyle w:val="afb"/>
        <w:rPr>
          <w:rFonts w:eastAsia="宋体"/>
          <w:lang w:eastAsia="zh-CN"/>
        </w:rPr>
      </w:pPr>
      <w:bookmarkStart w:id="0" w:name="_Ref399006623"/>
      <w:bookmarkStart w:id="1" w:name="_Toc92513360"/>
      <w:r w:rsidRPr="0004538C">
        <w:t xml:space="preserve">3GPP TSG-RAN WG4 Meeting </w:t>
      </w:r>
      <w:r w:rsidR="00A57F1A" w:rsidRPr="004E68D9">
        <w:rPr>
          <w:szCs w:val="22"/>
        </w:rPr>
        <w:t>#</w:t>
      </w:r>
      <w:r w:rsidR="003B32AA">
        <w:rPr>
          <w:rFonts w:cs="Arial"/>
          <w:szCs w:val="22"/>
        </w:rPr>
        <w:t xml:space="preserve">110bis  </w:t>
      </w:r>
      <w:r w:rsidR="0042456A">
        <w:rPr>
          <w:rFonts w:cs="Arial"/>
          <w:szCs w:val="22"/>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FD5585" w:rsidRPr="001D717A">
        <w:t>R4-</w:t>
      </w:r>
      <w:r w:rsidR="003B32AA">
        <w:t>24</w:t>
      </w:r>
      <w:r w:rsidR="00071017">
        <w:t>05614</w:t>
      </w:r>
    </w:p>
    <w:p w14:paraId="1DC1B158" w14:textId="07EDE687" w:rsidR="00675C27" w:rsidRPr="00444A16" w:rsidRDefault="003B32AA" w:rsidP="00F71A33">
      <w:pPr>
        <w:pStyle w:val="afb"/>
        <w:rPr>
          <w:rFonts w:eastAsia="宋体"/>
          <w:lang w:eastAsia="zh-CN"/>
        </w:rPr>
      </w:pPr>
      <w:r>
        <w:rPr>
          <w:rFonts w:eastAsia="宋体"/>
          <w:lang w:eastAsia="zh-CN"/>
        </w:rPr>
        <w:t>Changsha, China</w:t>
      </w:r>
      <w:r w:rsidR="009D7747">
        <w:rPr>
          <w:rFonts w:eastAsia="宋体"/>
          <w:lang w:eastAsia="zh-CN"/>
        </w:rPr>
        <w:t xml:space="preserve">, </w:t>
      </w:r>
      <w:r>
        <w:rPr>
          <w:rFonts w:eastAsia="宋体"/>
          <w:lang w:eastAsia="zh-CN"/>
        </w:rPr>
        <w:t>April</w:t>
      </w:r>
      <w:r w:rsidR="00261464">
        <w:rPr>
          <w:rFonts w:eastAsia="宋体"/>
          <w:lang w:eastAsia="zh-CN"/>
        </w:rPr>
        <w:t xml:space="preserve"> </w:t>
      </w:r>
      <w:r w:rsidR="008B79F1">
        <w:rPr>
          <w:rFonts w:eastAsia="宋体"/>
          <w:lang w:eastAsia="zh-CN"/>
        </w:rPr>
        <w:t>15</w:t>
      </w:r>
      <w:r w:rsidR="00261464">
        <w:rPr>
          <w:rFonts w:eastAsia="宋体"/>
          <w:lang w:eastAsia="zh-CN"/>
        </w:rPr>
        <w:t xml:space="preserve"> – </w:t>
      </w:r>
      <w:r>
        <w:rPr>
          <w:rFonts w:eastAsia="宋体"/>
          <w:lang w:eastAsia="zh-CN"/>
        </w:rPr>
        <w:t>19, 2024</w:t>
      </w:r>
    </w:p>
    <w:p w14:paraId="2ABD4DE5" w14:textId="77777777" w:rsidR="00F71A33" w:rsidRPr="00F71A33" w:rsidRDefault="00F71A33" w:rsidP="00F71A33">
      <w:pPr>
        <w:pStyle w:val="afb"/>
        <w:rPr>
          <w:rFonts w:eastAsia="宋体"/>
          <w:lang w:eastAsia="zh-CN"/>
        </w:rPr>
      </w:pPr>
    </w:p>
    <w:p w14:paraId="3B620443"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3A4A4F6A" w14:textId="1CD1190F"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350217" w:rsidRPr="00350217">
        <w:rPr>
          <w:rFonts w:ascii="Arial" w:hAnsi="Arial" w:cs="Arial"/>
          <w:sz w:val="22"/>
        </w:rPr>
        <w:t xml:space="preserve">On </w:t>
      </w:r>
      <w:r w:rsidR="006B3C45">
        <w:rPr>
          <w:rFonts w:ascii="Arial" w:hAnsi="Arial" w:cs="Arial"/>
          <w:sz w:val="22"/>
        </w:rPr>
        <w:t>p</w:t>
      </w:r>
      <w:r w:rsidR="006B3C45" w:rsidRPr="006B3C45">
        <w:rPr>
          <w:rFonts w:ascii="Arial" w:hAnsi="Arial" w:cs="Arial"/>
          <w:sz w:val="22"/>
        </w:rPr>
        <w:t>ower domain enhancement for NR single carrier and NR intra-band UL CA for PC2 and PC3</w:t>
      </w:r>
      <w:r w:rsidR="006B3C45">
        <w:rPr>
          <w:rFonts w:ascii="Arial" w:hAnsi="Arial" w:cs="Arial"/>
          <w:sz w:val="22"/>
        </w:rPr>
        <w:t xml:space="preserve"> </w:t>
      </w:r>
    </w:p>
    <w:p w14:paraId="4FD55D83" w14:textId="52FB30C1"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D216B1">
        <w:rPr>
          <w:rFonts w:ascii="Arial" w:hAnsi="Arial" w:cs="Arial"/>
          <w:sz w:val="22"/>
        </w:rPr>
        <w:t>9.1.3</w:t>
      </w:r>
      <w:bookmarkStart w:id="2" w:name="_GoBack"/>
      <w:bookmarkEnd w:id="2"/>
    </w:p>
    <w:p w14:paraId="477159C9" w14:textId="77777777"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628E3CC6" w14:textId="77777777" w:rsidR="00AD4188" w:rsidRDefault="00062E8E" w:rsidP="00F23E96">
      <w:pPr>
        <w:pStyle w:val="1"/>
        <w:spacing w:after="240"/>
        <w:rPr>
          <w:rFonts w:eastAsia="宋体"/>
          <w:lang w:eastAsia="zh-CN"/>
        </w:rPr>
      </w:pPr>
      <w:r>
        <w:rPr>
          <w:rFonts w:eastAsia="宋体" w:hint="eastAsia"/>
          <w:lang w:eastAsia="zh-CN"/>
        </w:rPr>
        <w:t>Introduction</w:t>
      </w:r>
    </w:p>
    <w:p w14:paraId="5C148060" w14:textId="0343089B" w:rsidR="002940E9" w:rsidRDefault="002940E9" w:rsidP="002940E9">
      <w:pPr>
        <w:jc w:val="both"/>
      </w:pPr>
      <w:r>
        <w:t xml:space="preserve">During RAN#103, the Rel-19 WI on </w:t>
      </w:r>
      <w:r w:rsidRPr="001D14BB">
        <w:rPr>
          <w:lang w:eastAsia="ja-JP"/>
        </w:rPr>
        <w:t xml:space="preserve">UE RF </w:t>
      </w:r>
      <w:r>
        <w:rPr>
          <w:lang w:eastAsia="ja-JP"/>
        </w:rPr>
        <w:t>enhancements for NR FR1 and FR2</w:t>
      </w:r>
      <w:r w:rsidRPr="001D14BB">
        <w:rPr>
          <w:lang w:eastAsia="ja-JP"/>
        </w:rPr>
        <w:t xml:space="preserve"> Phase 4</w:t>
      </w:r>
      <w:r>
        <w:t xml:space="preserve"> has been approved. Objectives related to </w:t>
      </w:r>
      <w:r w:rsidR="00B65D36">
        <w:t>power boosting</w:t>
      </w:r>
      <w:r w:rsidR="00D72F37">
        <w:t xml:space="preserve"> and/or MPR reduction</w:t>
      </w:r>
      <w:r>
        <w:t xml:space="preserve"> are reproduced as follows [1].  </w:t>
      </w:r>
    </w:p>
    <w:tbl>
      <w:tblPr>
        <w:tblStyle w:val="af8"/>
        <w:tblW w:w="0" w:type="auto"/>
        <w:tblLook w:val="04A0" w:firstRow="1" w:lastRow="0" w:firstColumn="1" w:lastColumn="0" w:noHBand="0" w:noVBand="1"/>
      </w:tblPr>
      <w:tblGrid>
        <w:gridCol w:w="9631"/>
      </w:tblGrid>
      <w:tr w:rsidR="002940E9" w:rsidRPr="001F5991" w14:paraId="5C874379" w14:textId="77777777" w:rsidTr="004E1823">
        <w:tc>
          <w:tcPr>
            <w:tcW w:w="9631" w:type="dxa"/>
          </w:tcPr>
          <w:p w14:paraId="40D10E88" w14:textId="77777777" w:rsidR="00725289" w:rsidRPr="00A61082" w:rsidRDefault="00725289" w:rsidP="00725289">
            <w:pPr>
              <w:rPr>
                <w:b/>
              </w:rPr>
            </w:pPr>
            <w:r w:rsidRPr="00A61082">
              <w:rPr>
                <w:b/>
              </w:rPr>
              <w:t>Power boosting and/or MPR reduction</w:t>
            </w:r>
          </w:p>
          <w:p w14:paraId="3B65B85F" w14:textId="77777777" w:rsidR="00B65D36" w:rsidRPr="0038453D" w:rsidRDefault="00B65D36" w:rsidP="00B65D36">
            <w:pPr>
              <w:pStyle w:val="aff6"/>
              <w:numPr>
                <w:ilvl w:val="0"/>
                <w:numId w:val="22"/>
              </w:numPr>
              <w:ind w:firstLineChars="0"/>
              <w:jc w:val="left"/>
              <w:rPr>
                <w:rFonts w:ascii="Times New Roman" w:hAnsi="Times New Roman"/>
                <w:sz w:val="20"/>
                <w:szCs w:val="20"/>
              </w:rPr>
            </w:pPr>
            <w:r w:rsidRPr="0038453D">
              <w:rPr>
                <w:rFonts w:ascii="Times New Roman" w:hAnsi="Times New Roman" w:hint="eastAsia"/>
                <w:sz w:val="20"/>
                <w:szCs w:val="20"/>
              </w:rPr>
              <w:t>Specify</w:t>
            </w:r>
            <w:r w:rsidRPr="0038453D">
              <w:rPr>
                <w:rFonts w:ascii="Times New Roman" w:hAnsi="Times New Roman"/>
                <w:sz w:val="20"/>
                <w:szCs w:val="20"/>
              </w:rPr>
              <w:t xml:space="preserve"> power domain enhancement, e.g., MPR reduction for NR single carrier and NR intra-band UL CA</w:t>
            </w:r>
          </w:p>
          <w:p w14:paraId="485ED8D9" w14:textId="77777777" w:rsidR="00B65D36" w:rsidRPr="00B65D36" w:rsidRDefault="00B65D36" w:rsidP="00B65D36">
            <w:pPr>
              <w:pStyle w:val="aff6"/>
              <w:numPr>
                <w:ilvl w:val="1"/>
                <w:numId w:val="22"/>
              </w:numPr>
              <w:ind w:firstLineChars="0"/>
              <w:jc w:val="left"/>
              <w:rPr>
                <w:rFonts w:ascii="Times New Roman" w:hAnsi="Times New Roman"/>
                <w:sz w:val="20"/>
                <w:szCs w:val="20"/>
              </w:rPr>
            </w:pPr>
            <w:r w:rsidRPr="00B65D36">
              <w:rPr>
                <w:rFonts w:ascii="Times New Roman" w:hAnsi="Times New Roman" w:hint="eastAsia"/>
                <w:sz w:val="20"/>
                <w:szCs w:val="20"/>
              </w:rPr>
              <w:t xml:space="preserve">Study </w:t>
            </w:r>
            <w:r w:rsidRPr="00B65D36">
              <w:rPr>
                <w:rFonts w:ascii="Times New Roman" w:hAnsi="Times New Roman"/>
                <w:sz w:val="20"/>
                <w:szCs w:val="20"/>
              </w:rPr>
              <w:t xml:space="preserve">the scenarios, </w:t>
            </w:r>
            <w:r w:rsidRPr="00B65D36">
              <w:rPr>
                <w:rFonts w:ascii="Times New Roman" w:hAnsi="Times New Roman" w:hint="eastAsia"/>
                <w:sz w:val="20"/>
                <w:szCs w:val="20"/>
              </w:rPr>
              <w:t>and</w:t>
            </w:r>
            <w:r w:rsidRPr="00B65D36">
              <w:rPr>
                <w:rFonts w:ascii="Times New Roman" w:hAnsi="Times New Roman"/>
                <w:sz w:val="20"/>
                <w:szCs w:val="20"/>
              </w:rPr>
              <w:t xml:space="preserve"> if feasible,</w:t>
            </w:r>
            <w:r w:rsidRPr="00B65D36">
              <w:rPr>
                <w:rFonts w:ascii="Times New Roman" w:hAnsi="Times New Roman" w:hint="eastAsia"/>
                <w:sz w:val="20"/>
                <w:szCs w:val="20"/>
              </w:rPr>
              <w:t xml:space="preserve"> sp</w:t>
            </w:r>
            <w:r w:rsidRPr="00B65D36">
              <w:rPr>
                <w:rFonts w:ascii="Times New Roman" w:hAnsi="Times New Roman"/>
                <w:sz w:val="20"/>
                <w:szCs w:val="20"/>
              </w:rPr>
              <w:t>ecify the power domain enhancement, e.g., MPR reduction, for PC2 and PC3 with applicable ACLR/SEM/spurious emission modification with BS indication for NR FR1 on a single UL carrier</w:t>
            </w:r>
          </w:p>
          <w:p w14:paraId="79B1C97B" w14:textId="77777777" w:rsidR="00B65D36" w:rsidRPr="00B65D36" w:rsidRDefault="00B65D36" w:rsidP="00B65D36">
            <w:pPr>
              <w:pStyle w:val="aff6"/>
              <w:numPr>
                <w:ilvl w:val="2"/>
                <w:numId w:val="22"/>
              </w:numPr>
              <w:ind w:firstLineChars="0"/>
              <w:jc w:val="left"/>
              <w:rPr>
                <w:rFonts w:ascii="Times New Roman" w:hAnsi="Times New Roman"/>
                <w:sz w:val="20"/>
                <w:szCs w:val="20"/>
              </w:rPr>
            </w:pPr>
            <w:r w:rsidRPr="00B65D36">
              <w:rPr>
                <w:rFonts w:ascii="Times New Roman" w:hAnsi="Times New Roman"/>
                <w:sz w:val="20"/>
                <w:szCs w:val="20"/>
              </w:rPr>
              <w:t>Include t</w:t>
            </w:r>
            <w:r w:rsidRPr="00B65D36">
              <w:rPr>
                <w:rFonts w:ascii="Times New Roman" w:hAnsi="Times New Roman" w:hint="eastAsia"/>
                <w:sz w:val="20"/>
                <w:szCs w:val="20"/>
              </w:rPr>
              <w:t>he following scenarios</w:t>
            </w:r>
            <w:r w:rsidRPr="00B65D36">
              <w:rPr>
                <w:rFonts w:ascii="Times New Roman" w:hAnsi="Times New Roman"/>
                <w:sz w:val="20"/>
                <w:szCs w:val="20"/>
              </w:rPr>
              <w:t>:</w:t>
            </w:r>
          </w:p>
          <w:p w14:paraId="348B6CEB" w14:textId="77777777" w:rsidR="00B65D36" w:rsidRPr="00B65D36" w:rsidRDefault="00B65D36" w:rsidP="00B65D36">
            <w:pPr>
              <w:pStyle w:val="aff6"/>
              <w:numPr>
                <w:ilvl w:val="3"/>
                <w:numId w:val="22"/>
              </w:numPr>
              <w:ind w:firstLineChars="0"/>
              <w:jc w:val="left"/>
              <w:rPr>
                <w:rFonts w:ascii="Times New Roman" w:hAnsi="Times New Roman"/>
                <w:sz w:val="20"/>
                <w:szCs w:val="20"/>
              </w:rPr>
            </w:pPr>
            <w:r w:rsidRPr="00B65D36">
              <w:rPr>
                <w:rFonts w:ascii="Times New Roman" w:hAnsi="Times New Roman" w:hint="eastAsia"/>
                <w:sz w:val="20"/>
                <w:szCs w:val="20"/>
              </w:rPr>
              <w:t>when there is no</w:t>
            </w:r>
            <w:r w:rsidRPr="00B65D36">
              <w:rPr>
                <w:rFonts w:ascii="Times New Roman" w:hAnsi="Times New Roman"/>
                <w:sz w:val="20"/>
                <w:szCs w:val="20"/>
              </w:rPr>
              <w:t xml:space="preserve"> adjacent</w:t>
            </w:r>
            <w:r w:rsidRPr="00B65D36">
              <w:rPr>
                <w:rFonts w:ascii="Times New Roman" w:hAnsi="Times New Roman" w:hint="eastAsia"/>
                <w:sz w:val="20"/>
                <w:szCs w:val="20"/>
              </w:rPr>
              <w:t xml:space="preserve"> </w:t>
            </w:r>
            <w:r w:rsidRPr="00B65D36">
              <w:rPr>
                <w:rFonts w:ascii="Times New Roman" w:hAnsi="Times New Roman"/>
                <w:sz w:val="20"/>
                <w:szCs w:val="20"/>
              </w:rPr>
              <w:t>in-band/out-of-band co-existence issue</w:t>
            </w:r>
          </w:p>
          <w:p w14:paraId="63DE4950" w14:textId="77777777" w:rsidR="00B65D36" w:rsidRPr="00B65D36" w:rsidRDefault="00B65D36" w:rsidP="00B65D36">
            <w:pPr>
              <w:pStyle w:val="aff6"/>
              <w:numPr>
                <w:ilvl w:val="3"/>
                <w:numId w:val="22"/>
              </w:numPr>
              <w:ind w:firstLineChars="0"/>
              <w:jc w:val="left"/>
              <w:rPr>
                <w:rFonts w:ascii="Times New Roman" w:hAnsi="Times New Roman"/>
                <w:sz w:val="20"/>
                <w:szCs w:val="20"/>
              </w:rPr>
            </w:pPr>
            <w:r w:rsidRPr="00B65D36">
              <w:rPr>
                <w:rFonts w:ascii="Times New Roman" w:hAnsi="Times New Roman"/>
                <w:sz w:val="20"/>
                <w:szCs w:val="20"/>
              </w:rPr>
              <w:t>when a UE uses a narrower channel bandwidth within a wider BS bandwidth</w:t>
            </w:r>
          </w:p>
          <w:p w14:paraId="61AF6903" w14:textId="77777777" w:rsidR="00B65D36" w:rsidRPr="00B65D36" w:rsidRDefault="00B65D36" w:rsidP="00B65D36">
            <w:pPr>
              <w:pStyle w:val="aff6"/>
              <w:numPr>
                <w:ilvl w:val="2"/>
                <w:numId w:val="22"/>
              </w:numPr>
              <w:ind w:firstLineChars="0"/>
              <w:jc w:val="left"/>
              <w:rPr>
                <w:rFonts w:ascii="Times New Roman" w:hAnsi="Times New Roman"/>
                <w:sz w:val="20"/>
                <w:szCs w:val="20"/>
              </w:rPr>
            </w:pPr>
            <w:r w:rsidRPr="00B65D36">
              <w:rPr>
                <w:rFonts w:ascii="Times New Roman" w:hAnsi="Times New Roman"/>
                <w:sz w:val="20"/>
                <w:szCs w:val="20"/>
              </w:rPr>
              <w:t>Include</w:t>
            </w:r>
            <w:r w:rsidRPr="00B65D36">
              <w:rPr>
                <w:rFonts w:ascii="Times New Roman" w:hAnsi="Times New Roman" w:hint="eastAsia"/>
                <w:sz w:val="20"/>
                <w:szCs w:val="20"/>
              </w:rPr>
              <w:t xml:space="preserve"> </w:t>
            </w:r>
            <w:r w:rsidRPr="00B65D36">
              <w:rPr>
                <w:rFonts w:ascii="Times New Roman" w:hAnsi="Times New Roman"/>
                <w:sz w:val="20"/>
                <w:szCs w:val="20"/>
              </w:rPr>
              <w:t>b</w:t>
            </w:r>
            <w:r w:rsidRPr="00B65D36">
              <w:rPr>
                <w:rFonts w:ascii="Times New Roman" w:hAnsi="Times New Roman" w:hint="eastAsia"/>
                <w:sz w:val="20"/>
                <w:szCs w:val="20"/>
              </w:rPr>
              <w:t xml:space="preserve">oth </w:t>
            </w:r>
            <w:r w:rsidRPr="00B65D36">
              <w:rPr>
                <w:rFonts w:ascii="Times New Roman" w:hAnsi="Times New Roman"/>
                <w:sz w:val="20"/>
                <w:szCs w:val="20"/>
              </w:rPr>
              <w:t>(e)</w:t>
            </w:r>
            <w:r w:rsidRPr="00B65D36">
              <w:rPr>
                <w:rFonts w:ascii="Times New Roman" w:hAnsi="Times New Roman" w:hint="eastAsia"/>
                <w:sz w:val="20"/>
                <w:szCs w:val="20"/>
              </w:rPr>
              <w:t>RedCap UE</w:t>
            </w:r>
            <w:r w:rsidRPr="00B65D36">
              <w:rPr>
                <w:rFonts w:ascii="Times New Roman" w:hAnsi="Times New Roman"/>
                <w:sz w:val="20"/>
                <w:szCs w:val="20"/>
              </w:rPr>
              <w:t xml:space="preserve"> (only PC3)</w:t>
            </w:r>
            <w:r w:rsidRPr="00B65D36">
              <w:rPr>
                <w:rFonts w:ascii="Times New Roman" w:hAnsi="Times New Roman" w:hint="eastAsia"/>
                <w:sz w:val="20"/>
                <w:szCs w:val="20"/>
              </w:rPr>
              <w:t xml:space="preserve"> and non-RedCap UE</w:t>
            </w:r>
          </w:p>
          <w:p w14:paraId="215C87F6" w14:textId="77777777" w:rsidR="00B65D36" w:rsidRPr="00B65D36" w:rsidRDefault="00B65D36" w:rsidP="00B65D36">
            <w:pPr>
              <w:pStyle w:val="aff6"/>
              <w:numPr>
                <w:ilvl w:val="2"/>
                <w:numId w:val="22"/>
              </w:numPr>
              <w:ind w:firstLineChars="0"/>
              <w:jc w:val="left"/>
              <w:rPr>
                <w:rFonts w:ascii="Times New Roman" w:hAnsi="Times New Roman"/>
                <w:sz w:val="20"/>
                <w:szCs w:val="20"/>
              </w:rPr>
            </w:pPr>
            <w:r w:rsidRPr="00B65D36">
              <w:rPr>
                <w:rFonts w:ascii="Times New Roman" w:hAnsi="Times New Roman"/>
                <w:sz w:val="20"/>
                <w:szCs w:val="20"/>
              </w:rPr>
              <w:t>Limited to QSPK and 16QAM</w:t>
            </w:r>
          </w:p>
          <w:p w14:paraId="75D8A31C" w14:textId="77777777" w:rsidR="00B65D36" w:rsidRPr="0038453D" w:rsidRDefault="00B65D36" w:rsidP="00B65D36">
            <w:pPr>
              <w:pStyle w:val="aff6"/>
              <w:numPr>
                <w:ilvl w:val="1"/>
                <w:numId w:val="22"/>
              </w:numPr>
              <w:ind w:firstLineChars="0"/>
              <w:jc w:val="left"/>
              <w:rPr>
                <w:rFonts w:ascii="Times New Roman" w:hAnsi="Times New Roman"/>
                <w:sz w:val="20"/>
                <w:szCs w:val="20"/>
              </w:rPr>
            </w:pPr>
            <w:r w:rsidRPr="0038453D">
              <w:rPr>
                <w:rFonts w:ascii="Times New Roman" w:hAnsi="Times New Roman"/>
                <w:sz w:val="20"/>
                <w:szCs w:val="20"/>
              </w:rPr>
              <w:t>Specify MPR applicability based on the UL CCs with activated cells for NR intra-band UL CA configuration</w:t>
            </w:r>
          </w:p>
          <w:p w14:paraId="12F65299" w14:textId="77777777" w:rsidR="00B65D36" w:rsidRPr="00BE43AD" w:rsidRDefault="00B65D36" w:rsidP="00B65D36">
            <w:pPr>
              <w:pStyle w:val="aff6"/>
              <w:numPr>
                <w:ilvl w:val="2"/>
                <w:numId w:val="22"/>
              </w:numPr>
              <w:ind w:firstLineChars="0"/>
              <w:jc w:val="left"/>
              <w:rPr>
                <w:rFonts w:ascii="Times New Roman" w:hAnsi="Times New Roman"/>
                <w:sz w:val="20"/>
                <w:szCs w:val="20"/>
              </w:rPr>
            </w:pPr>
            <w:r w:rsidRPr="00BE43AD">
              <w:rPr>
                <w:rFonts w:ascii="Times New Roman" w:hAnsi="Times New Roman" w:hint="eastAsia"/>
                <w:sz w:val="20"/>
                <w:szCs w:val="20"/>
              </w:rPr>
              <w:t xml:space="preserve">Include both intra-band UL </w:t>
            </w:r>
            <w:r w:rsidRPr="00BE43AD">
              <w:rPr>
                <w:rFonts w:ascii="Times New Roman" w:hAnsi="Times New Roman"/>
                <w:sz w:val="20"/>
                <w:szCs w:val="20"/>
              </w:rPr>
              <w:t>contiguous</w:t>
            </w:r>
            <w:r w:rsidRPr="00BE43AD">
              <w:rPr>
                <w:rFonts w:ascii="Times New Roman" w:hAnsi="Times New Roman" w:hint="eastAsia"/>
                <w:sz w:val="20"/>
                <w:szCs w:val="20"/>
              </w:rPr>
              <w:t xml:space="preserve"> </w:t>
            </w:r>
            <w:r w:rsidRPr="00BE43AD">
              <w:rPr>
                <w:rFonts w:ascii="Times New Roman" w:hAnsi="Times New Roman"/>
                <w:sz w:val="20"/>
                <w:szCs w:val="20"/>
              </w:rPr>
              <w:t>CA and intra-band non-contiguous UL CA for FR1</w:t>
            </w:r>
          </w:p>
          <w:p w14:paraId="0ECB80F1" w14:textId="77777777" w:rsidR="00B65D36" w:rsidRPr="0038453D" w:rsidRDefault="00B65D36" w:rsidP="00B65D36">
            <w:pPr>
              <w:pStyle w:val="aff6"/>
              <w:numPr>
                <w:ilvl w:val="2"/>
                <w:numId w:val="22"/>
              </w:numPr>
              <w:ind w:firstLineChars="0"/>
              <w:jc w:val="left"/>
              <w:rPr>
                <w:rFonts w:ascii="Times New Roman" w:hAnsi="Times New Roman"/>
                <w:sz w:val="20"/>
                <w:szCs w:val="20"/>
              </w:rPr>
            </w:pPr>
            <w:r w:rsidRPr="0038453D">
              <w:rPr>
                <w:rFonts w:ascii="Times New Roman" w:hAnsi="Times New Roman"/>
                <w:sz w:val="20"/>
                <w:szCs w:val="20"/>
              </w:rPr>
              <w:t>Include intra-band UL contiguous CA and intra-band DL contiguous CA with single UL for FR2</w:t>
            </w:r>
          </w:p>
          <w:p w14:paraId="301E4A5C" w14:textId="77777777" w:rsidR="00B65D36" w:rsidRPr="0038453D" w:rsidRDefault="00B65D36" w:rsidP="00B65D36">
            <w:pPr>
              <w:pStyle w:val="aff6"/>
              <w:numPr>
                <w:ilvl w:val="2"/>
                <w:numId w:val="22"/>
              </w:numPr>
              <w:ind w:firstLineChars="0"/>
              <w:jc w:val="left"/>
              <w:rPr>
                <w:rFonts w:ascii="Times New Roman" w:hAnsi="Times New Roman"/>
                <w:sz w:val="20"/>
                <w:szCs w:val="20"/>
              </w:rPr>
            </w:pPr>
            <w:r w:rsidRPr="0038453D">
              <w:rPr>
                <w:rFonts w:ascii="Times New Roman" w:hAnsi="Times New Roman"/>
                <w:sz w:val="20"/>
                <w:szCs w:val="20"/>
              </w:rPr>
              <w:t>MPR requirement is not applicable until the SCell is activated</w:t>
            </w:r>
          </w:p>
          <w:p w14:paraId="0A6B96DD" w14:textId="633E1967" w:rsidR="002940E9" w:rsidRPr="00B65D36" w:rsidRDefault="00B65D36" w:rsidP="00B65D36">
            <w:pPr>
              <w:pStyle w:val="aff6"/>
              <w:numPr>
                <w:ilvl w:val="1"/>
                <w:numId w:val="22"/>
              </w:numPr>
              <w:spacing w:after="180"/>
              <w:ind w:firstLineChars="0"/>
              <w:jc w:val="left"/>
              <w:rPr>
                <w:rFonts w:ascii="Times New Roman" w:hAnsi="Times New Roman"/>
                <w:sz w:val="20"/>
                <w:szCs w:val="20"/>
              </w:rPr>
            </w:pPr>
            <w:r w:rsidRPr="0038453D">
              <w:rPr>
                <w:rFonts w:ascii="Times New Roman" w:hAnsi="Times New Roman"/>
                <w:sz w:val="20"/>
                <w:szCs w:val="20"/>
              </w:rPr>
              <w:t>Necessary signaling to support the above objectives</w:t>
            </w:r>
          </w:p>
        </w:tc>
      </w:tr>
    </w:tbl>
    <w:p w14:paraId="5EDD254A" w14:textId="71C2D889" w:rsidR="002940E9" w:rsidRDefault="002940E9" w:rsidP="00AB1467">
      <w:pPr>
        <w:jc w:val="both"/>
      </w:pPr>
      <w:r>
        <w:t xml:space="preserve">In this contribution, we would like to share our views regarding </w:t>
      </w:r>
      <w:r w:rsidR="00137C44">
        <w:t xml:space="preserve">this </w:t>
      </w:r>
      <w:r w:rsidR="00D72F37">
        <w:rPr>
          <w:rFonts w:hint="eastAsia"/>
        </w:rPr>
        <w:t>Rel-19</w:t>
      </w:r>
      <w:r w:rsidR="00D72F37">
        <w:t xml:space="preserve"> </w:t>
      </w:r>
      <w:r w:rsidR="00137C44">
        <w:t>topic</w:t>
      </w:r>
      <w:r>
        <w:t>.</w:t>
      </w:r>
    </w:p>
    <w:p w14:paraId="359F1129" w14:textId="45A12C00" w:rsidR="00F72EAC" w:rsidRDefault="00062E8E" w:rsidP="00F72EAC">
      <w:pPr>
        <w:pStyle w:val="1"/>
        <w:spacing w:after="240"/>
        <w:rPr>
          <w:rFonts w:eastAsia="宋体"/>
          <w:lang w:eastAsia="zh-CN"/>
        </w:rPr>
      </w:pPr>
      <w:r>
        <w:rPr>
          <w:rFonts w:eastAsia="宋体" w:hint="eastAsia"/>
          <w:lang w:eastAsia="zh-CN"/>
        </w:rPr>
        <w:t>Discussion</w:t>
      </w:r>
    </w:p>
    <w:p w14:paraId="1DEDBD81" w14:textId="403A3C78" w:rsidR="00F31D7D" w:rsidRDefault="008B1EB9" w:rsidP="004E01AB">
      <w:pPr>
        <w:pStyle w:val="2"/>
        <w:spacing w:after="240"/>
        <w:ind w:left="0"/>
      </w:pPr>
      <w:r>
        <w:t>MPR reduction for NR single band operation</w:t>
      </w:r>
    </w:p>
    <w:p w14:paraId="43EFEDEB" w14:textId="290A1F43" w:rsidR="00AD1F47" w:rsidRPr="0041098B" w:rsidRDefault="003D05BA" w:rsidP="004E01AB">
      <w:pPr>
        <w:snapToGrid w:val="0"/>
        <w:spacing w:after="0"/>
        <w:jc w:val="both"/>
      </w:pPr>
      <w:r>
        <w:rPr>
          <w:rFonts w:hint="eastAsia"/>
        </w:rPr>
        <w:t>S</w:t>
      </w:r>
      <w:r w:rsidR="00AD1F47" w:rsidRPr="0041098B">
        <w:t xml:space="preserve">ingle carrier transmission </w:t>
      </w:r>
      <w:r>
        <w:rPr>
          <w:rFonts w:hint="eastAsia"/>
        </w:rPr>
        <w:t>is</w:t>
      </w:r>
      <w:r w:rsidR="00AD1F47" w:rsidRPr="0041098B">
        <w:t xml:space="preserve"> typical in the field</w:t>
      </w:r>
      <w:r>
        <w:t xml:space="preserve"> that would require enhancement on coverage based on operators’ feedback</w:t>
      </w:r>
      <w:r w:rsidR="00AD1F47" w:rsidRPr="0041098B">
        <w:t xml:space="preserve">. Although defining higher power like PC1.5 is a straightforward way </w:t>
      </w:r>
      <w:r>
        <w:t>for that enhancement</w:t>
      </w:r>
      <w:r w:rsidR="00AD1F47" w:rsidRPr="0041098B">
        <w:t>, it would be challenging for the UE design considering the cost, size and power consumption. So</w:t>
      </w:r>
      <w:r>
        <w:t xml:space="preserve"> it could be more realistic to consider that can be enhanced </w:t>
      </w:r>
      <w:r w:rsidR="00AD1F47" w:rsidRPr="0041098B">
        <w:t xml:space="preserve">for existing </w:t>
      </w:r>
      <w:r>
        <w:t>equipment</w:t>
      </w:r>
      <w:r w:rsidR="00AD1F47" w:rsidRPr="0041098B">
        <w:t>, i.e., PC</w:t>
      </w:r>
      <w:r>
        <w:t>3</w:t>
      </w:r>
      <w:r w:rsidR="00AD1F47" w:rsidRPr="0041098B">
        <w:t xml:space="preserve"> and</w:t>
      </w:r>
      <w:r>
        <w:t>/or</w:t>
      </w:r>
      <w:r w:rsidR="00AD1F47" w:rsidRPr="0041098B">
        <w:t xml:space="preserve"> PC</w:t>
      </w:r>
      <w:r>
        <w:t>2 UE</w:t>
      </w:r>
      <w:r w:rsidR="00AD1F47" w:rsidRPr="0041098B">
        <w:t xml:space="preserve">. </w:t>
      </w:r>
      <w:r>
        <w:t xml:space="preserve">In Rel-18, it was agreed by RAN4 </w:t>
      </w:r>
      <w:r w:rsidR="00AD1F47" w:rsidRPr="0041098B">
        <w:t>to boost 0.5dB for PC2 and by 1dB for PC3 in the inner region</w:t>
      </w:r>
      <w:r w:rsidR="00301387">
        <w:t xml:space="preserve"> based on transparent s</w:t>
      </w:r>
      <w:r w:rsidR="00EE46FE">
        <w:t>cheme</w:t>
      </w:r>
      <w:r w:rsidR="00F3469F">
        <w:t xml:space="preserve"> like FDSS</w:t>
      </w:r>
      <w:r w:rsidR="00AD1F47" w:rsidRPr="0041098B">
        <w:t>.</w:t>
      </w:r>
    </w:p>
    <w:p w14:paraId="2D2131EC" w14:textId="299A8003" w:rsidR="001F5991" w:rsidRDefault="00EE46FE" w:rsidP="004E01AB">
      <w:pPr>
        <w:snapToGrid w:val="0"/>
        <w:spacing w:after="0"/>
        <w:jc w:val="both"/>
      </w:pPr>
      <w:r>
        <w:t xml:space="preserve">As for outer region, it was deprioritized in Rel-18 since the UE could face more difficulties to boost power considering all existing requirements including ACLR, SEM and </w:t>
      </w:r>
      <w:r w:rsidR="001F5991">
        <w:t>spurious</w:t>
      </w:r>
      <w:r>
        <w:t xml:space="preserve"> emission</w:t>
      </w:r>
      <w:r w:rsidR="001F5991">
        <w:t xml:space="preserve">s. But from network perspective, it could still </w:t>
      </w:r>
      <w:r w:rsidR="00156DBC">
        <w:t xml:space="preserve">prefer </w:t>
      </w:r>
      <w:r w:rsidR="001F5991">
        <w:t>higher UL power in order to cope with persistently increasing</w:t>
      </w:r>
      <w:r w:rsidR="00BC225E">
        <w:t xml:space="preserve"> </w:t>
      </w:r>
      <w:r w:rsidR="00BC225E" w:rsidRPr="0041098B">
        <w:t xml:space="preserve">uplink </w:t>
      </w:r>
      <w:r w:rsidR="00BC225E">
        <w:t>traffic demands.</w:t>
      </w:r>
      <w:r w:rsidR="00156DBC">
        <w:t xml:space="preserve"> </w:t>
      </w:r>
      <w:r w:rsidR="001F5991">
        <w:t xml:space="preserve"> </w:t>
      </w:r>
    </w:p>
    <w:p w14:paraId="6B46B840" w14:textId="73809B1D" w:rsidR="00AD1F47" w:rsidRPr="00620411" w:rsidRDefault="00BC225E" w:rsidP="00E646BF">
      <w:pPr>
        <w:snapToGrid w:val="0"/>
        <w:spacing w:after="0"/>
        <w:jc w:val="both"/>
      </w:pPr>
      <w:r>
        <w:t xml:space="preserve">For better illustration, our measurements in </w:t>
      </w:r>
      <w:r w:rsidR="00AD1F47" w:rsidRPr="0041098B">
        <w:fldChar w:fldCharType="begin"/>
      </w:r>
      <w:r w:rsidR="00AD1F47" w:rsidRPr="0041098B">
        <w:instrText xml:space="preserve"> REF _Ref162692390 \h  \* MERGEFORMAT </w:instrText>
      </w:r>
      <w:r w:rsidR="00AD1F47" w:rsidRPr="0041098B">
        <w:fldChar w:fldCharType="separate"/>
      </w:r>
      <w:r w:rsidR="00AD1F47" w:rsidRPr="0041098B">
        <w:t xml:space="preserve">Figure </w:t>
      </w:r>
      <w:r w:rsidR="00AD1F47" w:rsidRPr="0041098B">
        <w:rPr>
          <w:noProof/>
        </w:rPr>
        <w:t>1</w:t>
      </w:r>
      <w:r w:rsidR="00AD1F47" w:rsidRPr="0041098B">
        <w:fldChar w:fldCharType="end"/>
      </w:r>
      <w:r w:rsidR="00AD1F47" w:rsidRPr="0041098B">
        <w:t xml:space="preserve"> shows the </w:t>
      </w:r>
      <w:r w:rsidR="002C54D6">
        <w:t xml:space="preserve">possible scheduling decision on RB </w:t>
      </w:r>
      <w:r w:rsidR="00AD1F47" w:rsidRPr="0041098B">
        <w:t xml:space="preserve">number </w:t>
      </w:r>
      <w:r w:rsidR="001F5801">
        <w:t>for UE near the cell edge (RSRP</w:t>
      </w:r>
      <w:r w:rsidR="00AD1F47" w:rsidRPr="0041098B">
        <w:t>&lt;-100dBm)</w:t>
      </w:r>
      <w:r w:rsidR="002C54D6">
        <w:t>. For instance</w:t>
      </w:r>
      <w:r w:rsidR="00AD1F47" w:rsidRPr="0041098B">
        <w:t>, MCS</w:t>
      </w:r>
      <w:r w:rsidR="00C628FF">
        <w:t xml:space="preserve"> = </w:t>
      </w:r>
      <w:r w:rsidR="00AD1F47" w:rsidRPr="0041098B">
        <w:t>7</w:t>
      </w:r>
      <w:r w:rsidR="00C628FF">
        <w:t xml:space="preserve"> in </w:t>
      </w:r>
      <w:r w:rsidR="00C628FF" w:rsidRPr="0041098B">
        <w:t>average</w:t>
      </w:r>
      <w:r w:rsidR="00AD1F47" w:rsidRPr="0041098B">
        <w:t xml:space="preserve"> and full power transmission </w:t>
      </w:r>
      <w:r>
        <w:t>can be</w:t>
      </w:r>
      <w:r w:rsidR="00AD1F47" w:rsidRPr="0041098B">
        <w:t xml:space="preserve"> scheduled. The </w:t>
      </w:r>
      <w:r w:rsidR="002C54D6">
        <w:t>share of</w:t>
      </w:r>
      <w:r w:rsidR="00AD1F47" w:rsidRPr="0041098B">
        <w:t xml:space="preserve"> </w:t>
      </w:r>
      <w:r w:rsidR="002C54D6">
        <w:t>&lt;=</w:t>
      </w:r>
      <w:r w:rsidR="00AD1F47" w:rsidRPr="0041098B">
        <w:t xml:space="preserve"> 10 RB</w:t>
      </w:r>
      <w:r w:rsidR="002C54D6">
        <w:t>s allocation can</w:t>
      </w:r>
      <w:r w:rsidR="00AD1F47" w:rsidRPr="0041098B">
        <w:t xml:space="preserve"> reach 26% and the second highest proportion </w:t>
      </w:r>
      <w:r w:rsidR="002C54D6">
        <w:t>is</w:t>
      </w:r>
      <w:r w:rsidR="00AD1F47" w:rsidRPr="0041098B">
        <w:t xml:space="preserve"> 19% corresponds to the </w:t>
      </w:r>
      <w:r w:rsidR="002C54D6">
        <w:t>scheduling</w:t>
      </w:r>
      <w:r w:rsidR="00AD1F47" w:rsidRPr="0041098B">
        <w:t xml:space="preserve"> with more than 200 RBs. </w:t>
      </w:r>
      <w:r w:rsidR="001D6A92">
        <w:t>Also</w:t>
      </w:r>
      <w:r w:rsidR="001D6A92" w:rsidRPr="0041098B">
        <w:t xml:space="preserve">, the average </w:t>
      </w:r>
      <w:r w:rsidR="001D6A92">
        <w:t xml:space="preserve">scheduled </w:t>
      </w:r>
      <w:r w:rsidR="001D6A92" w:rsidRPr="0041098B">
        <w:t>RB</w:t>
      </w:r>
      <w:r w:rsidR="001D6A92">
        <w:t xml:space="preserve"> number</w:t>
      </w:r>
      <w:r w:rsidR="001D6A92" w:rsidRPr="0041098B">
        <w:t xml:space="preserve"> is 98</w:t>
      </w:r>
      <w:r w:rsidR="001D6A92">
        <w:t xml:space="preserve">. </w:t>
      </w:r>
      <w:r w:rsidR="001D6A92" w:rsidRPr="0041098B">
        <w:t>Therefore</w:t>
      </w:r>
      <w:r w:rsidR="001D6A92">
        <w:t>,</w:t>
      </w:r>
      <w:r w:rsidR="001D6A92" w:rsidRPr="0041098B">
        <w:t xml:space="preserve"> </w:t>
      </w:r>
      <w:r w:rsidR="001D6A92">
        <w:t>i</w:t>
      </w:r>
      <w:r w:rsidR="00AD1F47" w:rsidRPr="0041098B">
        <w:t xml:space="preserve">t is </w:t>
      </w:r>
      <w:r w:rsidR="002C54D6">
        <w:t>convincing</w:t>
      </w:r>
      <w:r w:rsidR="00AD1F47" w:rsidRPr="0041098B">
        <w:t xml:space="preserve"> </w:t>
      </w:r>
      <w:r w:rsidR="002C54D6">
        <w:t>that</w:t>
      </w:r>
      <w:r w:rsidR="00AD1F47" w:rsidRPr="0041098B">
        <w:t xml:space="preserve"> large</w:t>
      </w:r>
      <w:r w:rsidR="002C54D6">
        <w:t>r</w:t>
      </w:r>
      <w:r w:rsidR="00AD1F47" w:rsidRPr="0041098B">
        <w:t xml:space="preserve"> number of RB </w:t>
      </w:r>
      <w:r w:rsidR="002C54D6">
        <w:t xml:space="preserve">can be scheduled since we choose typical </w:t>
      </w:r>
      <w:r w:rsidR="001D6A92">
        <w:t xml:space="preserve">burst </w:t>
      </w:r>
      <w:r w:rsidR="002C54D6">
        <w:t xml:space="preserve">UL traffic </w:t>
      </w:r>
      <w:r w:rsidR="007B5F0C">
        <w:t xml:space="preserve">as </w:t>
      </w:r>
      <w:r w:rsidR="00620411" w:rsidRPr="00620411">
        <w:t>short video service</w:t>
      </w:r>
      <w:r w:rsidR="00AD1F47" w:rsidRPr="0041098B">
        <w:t>.</w:t>
      </w:r>
    </w:p>
    <w:p w14:paraId="21F74862" w14:textId="12C2F519" w:rsidR="00AD1F47" w:rsidRPr="0041098B" w:rsidRDefault="00AD1F47" w:rsidP="00AD1F47">
      <w:pPr>
        <w:keepNext/>
        <w:jc w:val="center"/>
      </w:pPr>
      <w:r w:rsidRPr="0041098B">
        <w:rPr>
          <w:noProof/>
          <w:lang w:val="en-US"/>
        </w:rPr>
        <w:lastRenderedPageBreak/>
        <w:drawing>
          <wp:inline distT="0" distB="0" distL="0" distR="0" wp14:anchorId="166E0543" wp14:editId="0CF75D11">
            <wp:extent cx="3022600" cy="2159000"/>
            <wp:effectExtent l="0" t="0" r="6350" b="0"/>
            <wp:docPr id="14" name="图片 14" descr="D:\2024\外场大带宽多RB实测\Figure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descr="D:\2024\外场大带宽多RB实测\Figure_1.png"/>
                    <pic:cNvPicPr>
                      <a:picLocks noChangeAspect="1" noChangeArrowheads="1"/>
                    </pic:cNvPicPr>
                  </pic:nvPicPr>
                  <pic:blipFill>
                    <a:blip r:embed="rId8">
                      <a:extLst>
                        <a:ext uri="{28A0092B-C50C-407E-A947-70E740481C1C}">
                          <a14:useLocalDpi xmlns:a14="http://schemas.microsoft.com/office/drawing/2010/main" val="0"/>
                        </a:ext>
                      </a:extLst>
                    </a:blip>
                    <a:srcRect t="10567" r="8699" b="1872"/>
                    <a:stretch>
                      <a:fillRect/>
                    </a:stretch>
                  </pic:blipFill>
                  <pic:spPr bwMode="auto">
                    <a:xfrm>
                      <a:off x="0" y="0"/>
                      <a:ext cx="3022600" cy="2159000"/>
                    </a:xfrm>
                    <a:prstGeom prst="rect">
                      <a:avLst/>
                    </a:prstGeom>
                    <a:noFill/>
                    <a:ln>
                      <a:noFill/>
                    </a:ln>
                  </pic:spPr>
                </pic:pic>
              </a:graphicData>
            </a:graphic>
          </wp:inline>
        </w:drawing>
      </w:r>
    </w:p>
    <w:p w14:paraId="26A0999E" w14:textId="0D06BAD0" w:rsidR="00AD1F47" w:rsidRPr="0041098B" w:rsidRDefault="00AD1F47" w:rsidP="00AD1F47">
      <w:pPr>
        <w:pStyle w:val="ad"/>
        <w:jc w:val="center"/>
      </w:pPr>
      <w:bookmarkStart w:id="3" w:name="_Ref162692390"/>
      <w:r w:rsidRPr="0041098B">
        <w:t xml:space="preserve">Figure </w:t>
      </w:r>
      <w:r w:rsidRPr="0041098B">
        <w:fldChar w:fldCharType="begin"/>
      </w:r>
      <w:r w:rsidRPr="0041098B">
        <w:instrText xml:space="preserve"> SEQ Figure \* ARABIC </w:instrText>
      </w:r>
      <w:r w:rsidRPr="0041098B">
        <w:fldChar w:fldCharType="separate"/>
      </w:r>
      <w:r>
        <w:rPr>
          <w:noProof/>
        </w:rPr>
        <w:t>1</w:t>
      </w:r>
      <w:r w:rsidRPr="0041098B">
        <w:fldChar w:fldCharType="end"/>
      </w:r>
      <w:bookmarkEnd w:id="3"/>
      <w:r w:rsidR="004E01AB">
        <w:t>.</w:t>
      </w:r>
      <w:r w:rsidRPr="0041098B">
        <w:t xml:space="preserve"> </w:t>
      </w:r>
      <w:r w:rsidR="007D35BE">
        <w:t>Distribution of R</w:t>
      </w:r>
      <w:r w:rsidRPr="0041098B">
        <w:t>B number</w:t>
      </w:r>
      <w:r w:rsidR="007D35BE">
        <w:t xml:space="preserve"> scheduled for UL</w:t>
      </w:r>
    </w:p>
    <w:p w14:paraId="7A31F6D8" w14:textId="77777777" w:rsidR="00AD1F47" w:rsidRPr="0041098B" w:rsidRDefault="00AD1F47" w:rsidP="00AD1F47">
      <w:pPr>
        <w:snapToGrid w:val="0"/>
        <w:spacing w:after="0"/>
        <w:rPr>
          <w:color w:val="FF0000"/>
        </w:rPr>
      </w:pPr>
    </w:p>
    <w:p w14:paraId="14EC0F7E" w14:textId="3E52C3ED" w:rsidR="001D6A92" w:rsidRDefault="0085035D" w:rsidP="00E646BF">
      <w:pPr>
        <w:snapToGrid w:val="0"/>
        <w:spacing w:after="0"/>
        <w:jc w:val="both"/>
      </w:pPr>
      <w:r w:rsidRPr="00FA3ACF">
        <w:rPr>
          <w:b/>
          <w:i/>
        </w:rPr>
        <w:t>Observation</w:t>
      </w:r>
      <w:r w:rsidR="00E646BF">
        <w:rPr>
          <w:b/>
          <w:i/>
        </w:rPr>
        <w:t xml:space="preserve"> </w:t>
      </w:r>
      <w:r w:rsidRPr="00FA3ACF">
        <w:rPr>
          <w:b/>
          <w:i/>
        </w:rPr>
        <w:t>1</w:t>
      </w:r>
      <w:r w:rsidR="00E57AB0">
        <w:rPr>
          <w:b/>
          <w:i/>
        </w:rPr>
        <w:t xml:space="preserve">: </w:t>
      </w:r>
      <w:r w:rsidR="00E646BF">
        <w:rPr>
          <w:b/>
          <w:i/>
        </w:rPr>
        <w:t xml:space="preserve">Real world UL traffic proves the necessity of </w:t>
      </w:r>
      <w:r w:rsidRPr="00E646BF">
        <w:rPr>
          <w:b/>
          <w:i/>
        </w:rPr>
        <w:t xml:space="preserve">power domain enhancement for large </w:t>
      </w:r>
      <w:r w:rsidR="00E646BF">
        <w:rPr>
          <w:b/>
          <w:i/>
        </w:rPr>
        <w:t xml:space="preserve">RB </w:t>
      </w:r>
      <w:r w:rsidRPr="00E646BF">
        <w:rPr>
          <w:b/>
          <w:i/>
        </w:rPr>
        <w:t xml:space="preserve">number </w:t>
      </w:r>
      <w:r w:rsidR="00E646BF">
        <w:rPr>
          <w:b/>
          <w:i/>
        </w:rPr>
        <w:t>allocation</w:t>
      </w:r>
      <w:r w:rsidRPr="00E646BF">
        <w:rPr>
          <w:b/>
          <w:i/>
        </w:rPr>
        <w:t>.</w:t>
      </w:r>
    </w:p>
    <w:p w14:paraId="27ED8258" w14:textId="77777777" w:rsidR="001D6A92" w:rsidRDefault="001D6A92" w:rsidP="00E646BF">
      <w:pPr>
        <w:snapToGrid w:val="0"/>
        <w:spacing w:after="0"/>
        <w:jc w:val="both"/>
      </w:pPr>
    </w:p>
    <w:p w14:paraId="15A351E4" w14:textId="442F4B6D" w:rsidR="00801A96" w:rsidRDefault="00E646BF" w:rsidP="00E646BF">
      <w:pPr>
        <w:snapToGrid w:val="0"/>
        <w:spacing w:after="0"/>
        <w:jc w:val="both"/>
      </w:pPr>
      <w:r>
        <w:t xml:space="preserve">Targeting large RB allocation at outer region, </w:t>
      </w:r>
      <w:r w:rsidR="007B0BD3">
        <w:t xml:space="preserve">we think relaxation on ACLR can be </w:t>
      </w:r>
      <w:r w:rsidR="007B0BD3" w:rsidRPr="0041098B">
        <w:t>the low-hanging fruit</w:t>
      </w:r>
      <w:r w:rsidR="007B0BD3">
        <w:t xml:space="preserve"> since </w:t>
      </w:r>
      <w:r w:rsidR="007B0BD3" w:rsidRPr="0041098B">
        <w:t>SEM and spurious emissions</w:t>
      </w:r>
      <w:r w:rsidR="007B0BD3">
        <w:t xml:space="preserve"> are formulated from regulation. </w:t>
      </w:r>
      <w:r w:rsidR="00801A96">
        <w:t>A</w:t>
      </w:r>
      <w:r w:rsidR="005A1883">
        <w:t xml:space="preserve">CLR is </w:t>
      </w:r>
      <w:r>
        <w:t xml:space="preserve">defined as </w:t>
      </w:r>
      <w:r w:rsidR="005A1883">
        <w:t>the</w:t>
      </w:r>
      <w:r>
        <w:t xml:space="preserve"> power</w:t>
      </w:r>
      <w:r w:rsidR="005A1883">
        <w:t xml:space="preserve"> ratio of the filtered mean power </w:t>
      </w:r>
      <w:r>
        <w:t>centred</w:t>
      </w:r>
      <w:r w:rsidR="005A1883">
        <w:t xml:space="preserve"> on the assigned channel to the filtered mean power </w:t>
      </w:r>
      <w:r>
        <w:t>centred</w:t>
      </w:r>
      <w:r w:rsidR="00F3469F">
        <w:t xml:space="preserve"> on an adjacent channel</w:t>
      </w:r>
      <w:r w:rsidR="005A1883">
        <w:t xml:space="preserve">, which is to ensure that the transmitter does not cause excessive interference to the adjacent channels between different operators. </w:t>
      </w:r>
      <w:r w:rsidR="00BE26B9">
        <w:t xml:space="preserve">For the adjacent channels of one operator, </w:t>
      </w:r>
      <w:r w:rsidR="00BE26B9" w:rsidRPr="00BE26B9">
        <w:t xml:space="preserve">the interference between </w:t>
      </w:r>
      <w:r w:rsidR="00BE26B9">
        <w:t xml:space="preserve">them </w:t>
      </w:r>
      <w:r w:rsidR="00BE26B9" w:rsidRPr="00BE26B9">
        <w:t>is small</w:t>
      </w:r>
      <w:r w:rsidR="00801A96">
        <w:t xml:space="preserve"> because time-f</w:t>
      </w:r>
      <w:r w:rsidR="00801A96" w:rsidRPr="00801A96">
        <w:t>requency offset correction ensures that the subcarriers</w:t>
      </w:r>
      <w:r w:rsidR="00147A57">
        <w:t xml:space="preserve"> of two channels are orthogonal,</w:t>
      </w:r>
      <w:r w:rsidR="00BE26B9" w:rsidRPr="00BE26B9">
        <w:t xml:space="preserve"> or can be eliminated by scheduling.</w:t>
      </w:r>
      <w:r w:rsidR="00BE26B9">
        <w:t xml:space="preserve"> </w:t>
      </w:r>
      <w:r w:rsidR="005A6232">
        <w:t>The value of ACLR is usually derived based on co-existence study, which is reflected in the specification as an integral result in the dedicated CBW compared to requirement of SEM.</w:t>
      </w:r>
    </w:p>
    <w:p w14:paraId="75786A86" w14:textId="77777777" w:rsidR="006A2804" w:rsidRDefault="006A2804" w:rsidP="00E57AB0">
      <w:pPr>
        <w:snapToGrid w:val="0"/>
        <w:spacing w:after="0"/>
        <w:jc w:val="both"/>
      </w:pPr>
    </w:p>
    <w:p w14:paraId="028C9725" w14:textId="2C281891" w:rsidR="006A2804" w:rsidRPr="00E646BF" w:rsidRDefault="006A2804" w:rsidP="00E646BF">
      <w:pPr>
        <w:snapToGrid w:val="0"/>
        <w:spacing w:after="0"/>
        <w:jc w:val="both"/>
        <w:rPr>
          <w:b/>
          <w:i/>
        </w:rPr>
      </w:pPr>
      <w:r w:rsidRPr="00E646BF">
        <w:rPr>
          <w:b/>
          <w:i/>
        </w:rPr>
        <w:t>Observation</w:t>
      </w:r>
      <w:r w:rsidR="00E646BF">
        <w:rPr>
          <w:b/>
          <w:i/>
        </w:rPr>
        <w:t xml:space="preserve"> </w:t>
      </w:r>
      <w:r w:rsidRPr="00E646BF">
        <w:rPr>
          <w:b/>
          <w:i/>
        </w:rPr>
        <w:t>2</w:t>
      </w:r>
      <w:r w:rsidR="00E57AB0">
        <w:rPr>
          <w:b/>
          <w:i/>
        </w:rPr>
        <w:t xml:space="preserve">: </w:t>
      </w:r>
      <w:r w:rsidRPr="00E646BF">
        <w:rPr>
          <w:b/>
          <w:i/>
        </w:rPr>
        <w:t xml:space="preserve">ACLR is </w:t>
      </w:r>
      <w:r w:rsidR="005A6232" w:rsidRPr="00E646BF">
        <w:rPr>
          <w:b/>
          <w:i/>
        </w:rPr>
        <w:t xml:space="preserve">derived from co-existence study </w:t>
      </w:r>
      <w:r w:rsidRPr="00E646BF">
        <w:rPr>
          <w:b/>
          <w:i/>
        </w:rPr>
        <w:t>to ensure that the transmitter does not cause excessive interference to the adjacent channels between different operators.</w:t>
      </w:r>
    </w:p>
    <w:p w14:paraId="1BCD80D9" w14:textId="77777777" w:rsidR="006A2804" w:rsidRDefault="006A2804" w:rsidP="00E57AB0">
      <w:pPr>
        <w:snapToGrid w:val="0"/>
        <w:spacing w:after="0"/>
        <w:jc w:val="both"/>
      </w:pPr>
    </w:p>
    <w:p w14:paraId="222519A6" w14:textId="5BE9F707" w:rsidR="00033D20" w:rsidRDefault="00BE26B9" w:rsidP="00E646BF">
      <w:pPr>
        <w:snapToGrid w:val="0"/>
        <w:spacing w:after="0"/>
        <w:jc w:val="both"/>
      </w:pPr>
      <w:r>
        <w:t xml:space="preserve">SEM </w:t>
      </w:r>
      <w:r w:rsidR="00801A96">
        <w:t>applying</w:t>
      </w:r>
      <w:r w:rsidRPr="00E646BF">
        <w:t xml:space="preserve"> to frequencies (Δ</w:t>
      </w:r>
      <w:r w:rsidRPr="00BE26B9">
        <w:rPr>
          <w:i/>
        </w:rPr>
        <w:t>f</w:t>
      </w:r>
      <w:r w:rsidRPr="00BE26B9">
        <w:rPr>
          <w:i/>
          <w:vertAlign w:val="subscript"/>
        </w:rPr>
        <w:t>OOB</w:t>
      </w:r>
      <w:r w:rsidRPr="00E646BF">
        <w:t xml:space="preserve">) starting </w:t>
      </w:r>
      <w:r>
        <w:t>from the edge of the assigned</w:t>
      </w:r>
      <w:r w:rsidR="00801A96" w:rsidRPr="00801A96">
        <w:t xml:space="preserve"> channel bandwidth</w:t>
      </w:r>
      <w:r w:rsidR="00801A96">
        <w:t xml:space="preserve">, </w:t>
      </w:r>
      <w:r w:rsidR="00801A96" w:rsidRPr="00801A96">
        <w:t>provides a template</w:t>
      </w:r>
      <w:r w:rsidR="003A271F">
        <w:t xml:space="preserve"> to measure whether </w:t>
      </w:r>
      <w:r w:rsidR="00801A96" w:rsidRPr="00801A96">
        <w:t xml:space="preserve">emissions exceed absolute values. </w:t>
      </w:r>
      <w:r w:rsidR="003A271F" w:rsidRPr="003A271F">
        <w:t xml:space="preserve">The SEM definition takes into account the </w:t>
      </w:r>
      <w:r w:rsidR="00083ABB">
        <w:t>baseband spectrum shaping</w:t>
      </w:r>
      <w:r w:rsidR="003A271F" w:rsidRPr="003A271F">
        <w:t xml:space="preserve"> implementation</w:t>
      </w:r>
      <w:r w:rsidR="00083ABB">
        <w:t xml:space="preserve"> usually by FIR filtering</w:t>
      </w:r>
      <w:r w:rsidR="003A271F" w:rsidRPr="003A271F">
        <w:t xml:space="preserve">, which </w:t>
      </w:r>
      <w:r w:rsidR="000F230C">
        <w:t xml:space="preserve">explains </w:t>
      </w:r>
      <w:r w:rsidR="003A271F" w:rsidRPr="003A271F">
        <w:t xml:space="preserve">why </w:t>
      </w:r>
      <w:r w:rsidR="000F230C">
        <w:t>the absolute values for SEM</w:t>
      </w:r>
      <w:r w:rsidR="003A271F">
        <w:t xml:space="preserve"> </w:t>
      </w:r>
      <w:r w:rsidR="000F230C">
        <w:t xml:space="preserve">vary across </w:t>
      </w:r>
      <w:r w:rsidR="003A271F">
        <w:t xml:space="preserve">different </w:t>
      </w:r>
      <w:r w:rsidR="003A271F" w:rsidRPr="00FA3ACF">
        <w:t>Δ</w:t>
      </w:r>
      <w:r w:rsidR="003A271F" w:rsidRPr="00BE26B9">
        <w:rPr>
          <w:i/>
        </w:rPr>
        <w:t>f</w:t>
      </w:r>
      <w:r w:rsidR="003A271F" w:rsidRPr="00BE26B9">
        <w:rPr>
          <w:i/>
          <w:vertAlign w:val="subscript"/>
        </w:rPr>
        <w:t>OOB</w:t>
      </w:r>
      <w:r w:rsidR="003A271F" w:rsidRPr="003A271F">
        <w:t xml:space="preserve">, </w:t>
      </w:r>
      <w:r w:rsidR="00083ABB">
        <w:t>especially for the close end to the transmitted signal</w:t>
      </w:r>
      <w:r w:rsidR="003A271F" w:rsidRPr="003A271F">
        <w:t>.</w:t>
      </w:r>
      <w:r w:rsidR="000F230C">
        <w:t xml:space="preserve"> </w:t>
      </w:r>
      <w:r w:rsidR="006673E9" w:rsidRPr="006673E9">
        <w:t>Since the filter</w:t>
      </w:r>
      <w:r w:rsidR="006673E9">
        <w:t xml:space="preserve"> </w:t>
      </w:r>
      <w:r w:rsidR="006673E9" w:rsidRPr="003A271F">
        <w:t>implementation</w:t>
      </w:r>
      <w:r w:rsidR="006673E9" w:rsidRPr="006673E9">
        <w:t xml:space="preserve"> is based on </w:t>
      </w:r>
      <w:r w:rsidR="006673E9">
        <w:t xml:space="preserve">the </w:t>
      </w:r>
      <w:r w:rsidR="006673E9" w:rsidRPr="006673E9">
        <w:t>existing specification, it appears that there would be no benef</w:t>
      </w:r>
      <w:r w:rsidR="006673E9">
        <w:t>it even if SEM was</w:t>
      </w:r>
      <w:r w:rsidR="006673E9" w:rsidRPr="006673E9">
        <w:t xml:space="preserve"> relaxed, considering the minimization of implementation impact</w:t>
      </w:r>
      <w:r w:rsidR="006673E9">
        <w:t xml:space="preserve">. </w:t>
      </w:r>
      <w:r w:rsidR="004D1AD1">
        <w:t>It has connection</w:t>
      </w:r>
      <w:r w:rsidR="00801A96" w:rsidRPr="00801A96">
        <w:t xml:space="preserve"> to ACLR but </w:t>
      </w:r>
      <w:r w:rsidR="004D1AD1">
        <w:t>with different emphasis</w:t>
      </w:r>
      <w:r w:rsidR="00801A96" w:rsidRPr="00801A96">
        <w:t xml:space="preserve">: ACLR considers the average power leaked into adjacent channels by using the channel bandwidth as the measurement bandwidth. It reflects the transmitter’s “noise floor” in adjacent channel. On the other hand, SEM captures out-of-specification points within narrower measurement bandwidths in adjacent channel, emphasizing “unwanted emissions based on the noise floor.” </w:t>
      </w:r>
    </w:p>
    <w:p w14:paraId="46804FC3" w14:textId="77777777" w:rsidR="00033D20" w:rsidRDefault="00033D20" w:rsidP="004D1AD1">
      <w:pPr>
        <w:snapToGrid w:val="0"/>
        <w:spacing w:after="0"/>
        <w:jc w:val="both"/>
      </w:pPr>
    </w:p>
    <w:p w14:paraId="1F55C9DA" w14:textId="42B659D6" w:rsidR="00033D20" w:rsidRDefault="00033D20" w:rsidP="00E646BF">
      <w:pPr>
        <w:snapToGrid w:val="0"/>
        <w:spacing w:after="0"/>
        <w:jc w:val="both"/>
        <w:rPr>
          <w:b/>
          <w:i/>
        </w:rPr>
      </w:pPr>
      <w:r w:rsidRPr="00E646BF">
        <w:rPr>
          <w:b/>
          <w:i/>
        </w:rPr>
        <w:t>Observation</w:t>
      </w:r>
      <w:r w:rsidR="00E646BF">
        <w:rPr>
          <w:b/>
          <w:i/>
        </w:rPr>
        <w:t xml:space="preserve"> </w:t>
      </w:r>
      <w:r w:rsidRPr="00E646BF">
        <w:rPr>
          <w:b/>
          <w:i/>
        </w:rPr>
        <w:t>3</w:t>
      </w:r>
      <w:r w:rsidR="00E57AB0">
        <w:rPr>
          <w:b/>
          <w:i/>
        </w:rPr>
        <w:t xml:space="preserve">: </w:t>
      </w:r>
      <w:r w:rsidR="004D1AD1">
        <w:rPr>
          <w:b/>
          <w:i/>
        </w:rPr>
        <w:t>SEM has connection with ACLR but with different emphasis:</w:t>
      </w:r>
    </w:p>
    <w:p w14:paraId="5A398950" w14:textId="430F0C8D" w:rsidR="004D1AD1" w:rsidRPr="004D1AD1" w:rsidRDefault="004D1AD1" w:rsidP="004D1AD1">
      <w:pPr>
        <w:pStyle w:val="aff6"/>
        <w:numPr>
          <w:ilvl w:val="0"/>
          <w:numId w:val="35"/>
        </w:numPr>
        <w:snapToGrid w:val="0"/>
        <w:ind w:firstLineChars="0"/>
        <w:rPr>
          <w:rFonts w:ascii="Times New Roman" w:hAnsi="Times New Roman"/>
          <w:b/>
          <w:i/>
          <w:kern w:val="0"/>
          <w:sz w:val="20"/>
          <w:szCs w:val="20"/>
          <w:lang w:val="en-GB" w:eastAsia="zh-CN"/>
        </w:rPr>
      </w:pPr>
      <w:r w:rsidRPr="004D1AD1">
        <w:rPr>
          <w:rFonts w:ascii="Times New Roman" w:hAnsi="Times New Roman"/>
          <w:b/>
          <w:i/>
          <w:kern w:val="0"/>
          <w:sz w:val="20"/>
          <w:szCs w:val="20"/>
          <w:lang w:val="en-GB" w:eastAsia="zh-CN"/>
        </w:rPr>
        <w:t>ACLR considers the average power leaked into adjacent channels by using the channel bandwidth as the measurement bandwidth. It reflects the transmitter’s “noise floor” in adjacent channel, while SEM captures out-of-specification points within narrower measurement bandwidths in adjacent channel, emphasizing “unwanted emissions based on the noise floor.”</w:t>
      </w:r>
    </w:p>
    <w:p w14:paraId="3F2D8E1C" w14:textId="77777777" w:rsidR="004D1AD1" w:rsidRPr="00E646BF" w:rsidRDefault="004D1AD1" w:rsidP="00E646BF">
      <w:pPr>
        <w:snapToGrid w:val="0"/>
        <w:spacing w:after="0"/>
        <w:jc w:val="both"/>
        <w:rPr>
          <w:b/>
          <w:i/>
        </w:rPr>
      </w:pPr>
    </w:p>
    <w:p w14:paraId="442D74CC" w14:textId="77777777" w:rsidR="00033D20" w:rsidRDefault="00033D20" w:rsidP="004D1AD1">
      <w:pPr>
        <w:snapToGrid w:val="0"/>
        <w:spacing w:after="0"/>
        <w:jc w:val="both"/>
      </w:pPr>
    </w:p>
    <w:p w14:paraId="4F712A66" w14:textId="370D0B03" w:rsidR="00AD1F47" w:rsidRPr="0041098B" w:rsidRDefault="00AD1F47" w:rsidP="004D1AD1">
      <w:pPr>
        <w:snapToGrid w:val="0"/>
        <w:spacing w:after="0"/>
        <w:jc w:val="both"/>
      </w:pPr>
      <w:r w:rsidRPr="004D1AD1">
        <w:t>Spurious are emissions which are caused by unwanted transmitter effects such as harmonics emission, parasitic emissions, intermodulation products and frequency conversion products, but exclude out of band emissions unless otherwise stated.</w:t>
      </w:r>
      <w:r w:rsidRPr="0041098B">
        <w:t xml:space="preserve"> It is clear that the spurious emission </w:t>
      </w:r>
      <w:r w:rsidR="00B54A96">
        <w:t xml:space="preserve">also can be regarded as </w:t>
      </w:r>
      <w:r w:rsidR="00B54A96" w:rsidRPr="00801A96">
        <w:t xml:space="preserve">“noise floor” </w:t>
      </w:r>
      <w:r w:rsidR="00B54A96">
        <w:t xml:space="preserve">and </w:t>
      </w:r>
      <w:r w:rsidRPr="0041098B">
        <w:t>apply for the frequency ranges that are more than F</w:t>
      </w:r>
      <w:r w:rsidRPr="0041098B">
        <w:rPr>
          <w:vertAlign w:val="subscript"/>
        </w:rPr>
        <w:t>OOB</w:t>
      </w:r>
      <w:r w:rsidRPr="0041098B">
        <w:t xml:space="preserve"> from the edge of the channel bandwidth. </w:t>
      </w:r>
      <w:r w:rsidR="00B54A96" w:rsidRPr="00B54A96">
        <w:t>Similar to the SEM</w:t>
      </w:r>
      <w:r w:rsidR="00B54A96">
        <w:t xml:space="preserve">, </w:t>
      </w:r>
      <w:r w:rsidR="00B54A96" w:rsidRPr="00FA3ACF">
        <w:t>Spurious</w:t>
      </w:r>
      <w:r w:rsidR="00B54A96">
        <w:t xml:space="preserve"> is related to </w:t>
      </w:r>
      <w:r w:rsidR="005C7819">
        <w:t>regulations</w:t>
      </w:r>
      <w:r w:rsidR="00B54A96">
        <w:t xml:space="preserve"> and </w:t>
      </w:r>
      <w:r w:rsidR="000005C6">
        <w:t xml:space="preserve">may </w:t>
      </w:r>
      <w:r w:rsidR="00B54A96" w:rsidRPr="00B54A96">
        <w:t>have little power impact</w:t>
      </w:r>
      <w:r w:rsidR="00B54A96">
        <w:t xml:space="preserve"> </w:t>
      </w:r>
      <w:r w:rsidR="00B54A96" w:rsidRPr="00B54A96">
        <w:t>when being relaxed.</w:t>
      </w:r>
    </w:p>
    <w:p w14:paraId="43747933" w14:textId="77777777" w:rsidR="00AD1F47" w:rsidRPr="0041098B" w:rsidRDefault="00AD1F47" w:rsidP="00AD1F47">
      <w:pPr>
        <w:snapToGrid w:val="0"/>
        <w:spacing w:after="0"/>
        <w:rPr>
          <w:color w:val="FF0000"/>
        </w:rPr>
      </w:pPr>
    </w:p>
    <w:p w14:paraId="427BD28D" w14:textId="0D992168" w:rsidR="006A2804" w:rsidRPr="004D1AD1" w:rsidRDefault="00033D20" w:rsidP="00E57AB0">
      <w:pPr>
        <w:snapToGrid w:val="0"/>
        <w:spacing w:after="0"/>
        <w:jc w:val="both"/>
        <w:rPr>
          <w:b/>
          <w:i/>
        </w:rPr>
      </w:pPr>
      <w:r w:rsidRPr="004D1AD1">
        <w:rPr>
          <w:b/>
          <w:i/>
        </w:rPr>
        <w:t>Observation</w:t>
      </w:r>
      <w:r w:rsidR="004D1AD1">
        <w:rPr>
          <w:b/>
          <w:i/>
        </w:rPr>
        <w:t xml:space="preserve"> </w:t>
      </w:r>
      <w:r w:rsidRPr="004D1AD1">
        <w:rPr>
          <w:b/>
          <w:i/>
        </w:rPr>
        <w:t>4</w:t>
      </w:r>
      <w:r w:rsidR="00E57AB0">
        <w:rPr>
          <w:b/>
          <w:i/>
        </w:rPr>
        <w:t xml:space="preserve">: </w:t>
      </w:r>
      <w:r w:rsidRPr="004D1AD1">
        <w:rPr>
          <w:b/>
          <w:i/>
        </w:rPr>
        <w:t xml:space="preserve">Spurious are related to </w:t>
      </w:r>
      <w:r w:rsidR="005C7819" w:rsidRPr="004D1AD1">
        <w:rPr>
          <w:b/>
          <w:i/>
        </w:rPr>
        <w:t>regulations</w:t>
      </w:r>
      <w:r w:rsidRPr="004D1AD1">
        <w:rPr>
          <w:b/>
          <w:i/>
        </w:rPr>
        <w:t xml:space="preserve"> and represents “noise floor” far from the edge of the channel bandwidth.</w:t>
      </w:r>
    </w:p>
    <w:p w14:paraId="06211C36" w14:textId="55B9609D" w:rsidR="00AD1F47" w:rsidRPr="0041098B" w:rsidRDefault="00AD1F47" w:rsidP="00AD1F47">
      <w:pPr>
        <w:snapToGrid w:val="0"/>
        <w:spacing w:after="0"/>
        <w:rPr>
          <w:color w:val="FF0000"/>
        </w:rPr>
      </w:pPr>
    </w:p>
    <w:p w14:paraId="3F440122" w14:textId="77777777" w:rsidR="00AD1F47" w:rsidRPr="0041098B" w:rsidRDefault="00AD1F47" w:rsidP="004D1AD1">
      <w:pPr>
        <w:snapToGrid w:val="0"/>
        <w:spacing w:after="0"/>
        <w:jc w:val="both"/>
      </w:pPr>
      <w:r w:rsidRPr="0041098B">
        <w:t xml:space="preserve">For the sake of analysis, an example of these RF requirements in a 20 MHz bandwidth is illustrated in </w:t>
      </w:r>
      <w:r w:rsidRPr="0041098B">
        <w:fldChar w:fldCharType="begin"/>
      </w:r>
      <w:r w:rsidRPr="0041098B">
        <w:instrText xml:space="preserve"> REF _Ref162701269 \h  \* MERGEFORMAT </w:instrText>
      </w:r>
      <w:r w:rsidRPr="0041098B">
        <w:fldChar w:fldCharType="separate"/>
      </w:r>
      <w:r w:rsidRPr="0041098B">
        <w:t xml:space="preserve">Figure </w:t>
      </w:r>
      <w:r w:rsidRPr="0041098B">
        <w:rPr>
          <w:noProof/>
        </w:rPr>
        <w:t>2</w:t>
      </w:r>
      <w:r w:rsidRPr="0041098B">
        <w:fldChar w:fldCharType="end"/>
      </w:r>
      <w:r w:rsidRPr="0041098B">
        <w:t xml:space="preserve">. It can be found from </w:t>
      </w:r>
      <w:r w:rsidRPr="0041098B">
        <w:fldChar w:fldCharType="begin"/>
      </w:r>
      <w:r w:rsidRPr="0041098B">
        <w:instrText xml:space="preserve"> REF _Ref162701269 \h  \* MERGEFORMAT </w:instrText>
      </w:r>
      <w:r w:rsidRPr="0041098B">
        <w:fldChar w:fldCharType="separate"/>
      </w:r>
      <w:r w:rsidRPr="0041098B">
        <w:t xml:space="preserve">Figure </w:t>
      </w:r>
      <w:r w:rsidRPr="0041098B">
        <w:rPr>
          <w:noProof/>
        </w:rPr>
        <w:t>2</w:t>
      </w:r>
      <w:r w:rsidRPr="0041098B">
        <w:fldChar w:fldCharType="end"/>
      </w:r>
      <w:r w:rsidRPr="0041098B">
        <w:t xml:space="preserve"> that the interference measured by the ACLR has different absolute values corresponding to different </w:t>
      </w:r>
      <w:r w:rsidRPr="0041098B">
        <w:lastRenderedPageBreak/>
        <w:t>power classes. It seems more reasonable to assess the interference to adjacent channels with the absolute value of ACLR, because it is analogous to the spurious emissions that secure the compatibility and coexistence of various mobile communications systems. Intuitively, if the higher absolute value of ACLR can be tolerable for PC1.5 under a certain condition, the same level of absolute value of ACLR can also be allowed for PC3 and PC2 on the same condition, because the similar interference levels can be expected. Besides, the up to 100MHz channel bandwidth is used for NR, and thus even with higher transmission power the PSD of interference caused by ACLR would be relatively lower compared to smaller transmission bandwidths in 3G and 4G.</w:t>
      </w:r>
    </w:p>
    <w:p w14:paraId="2EEC5410" w14:textId="675A9303" w:rsidR="00AD1F47" w:rsidRPr="0041098B" w:rsidRDefault="005E7ABA" w:rsidP="00AD1F47">
      <w:pPr>
        <w:keepNext/>
        <w:snapToGrid w:val="0"/>
        <w:spacing w:after="0"/>
        <w:jc w:val="center"/>
      </w:pPr>
      <w:r>
        <w:rPr>
          <w:noProof/>
          <w:lang w:val="en-US"/>
        </w:rPr>
        <w:drawing>
          <wp:inline distT="0" distB="0" distL="0" distR="0" wp14:anchorId="18C6C265" wp14:editId="03575A20">
            <wp:extent cx="5099050" cy="2893041"/>
            <wp:effectExtent l="0" t="0" r="6350" b="317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117275" cy="2903381"/>
                    </a:xfrm>
                    <a:prstGeom prst="rect">
                      <a:avLst/>
                    </a:prstGeom>
                  </pic:spPr>
                </pic:pic>
              </a:graphicData>
            </a:graphic>
          </wp:inline>
        </w:drawing>
      </w:r>
    </w:p>
    <w:p w14:paraId="3B61B411" w14:textId="77777777" w:rsidR="00AD1F47" w:rsidRPr="0041098B" w:rsidRDefault="00AD1F47" w:rsidP="00AD1F47">
      <w:pPr>
        <w:pStyle w:val="ad"/>
        <w:jc w:val="center"/>
      </w:pPr>
      <w:bookmarkStart w:id="4" w:name="_Ref162701269"/>
      <w:r w:rsidRPr="0041098B">
        <w:t xml:space="preserve">Figure </w:t>
      </w:r>
      <w:r w:rsidRPr="0041098B">
        <w:fldChar w:fldCharType="begin"/>
      </w:r>
      <w:r w:rsidRPr="0041098B">
        <w:instrText xml:space="preserve"> SEQ Figure \* ARABIC </w:instrText>
      </w:r>
      <w:r w:rsidRPr="0041098B">
        <w:fldChar w:fldCharType="separate"/>
      </w:r>
      <w:r>
        <w:rPr>
          <w:noProof/>
        </w:rPr>
        <w:t>2</w:t>
      </w:r>
      <w:r w:rsidRPr="0041098B">
        <w:fldChar w:fldCharType="end"/>
      </w:r>
      <w:bookmarkEnd w:id="4"/>
      <w:r w:rsidRPr="0041098B">
        <w:t xml:space="preserve"> Example of ACLR, SEM and spurious in a 20 MHz bandwidth</w:t>
      </w:r>
    </w:p>
    <w:p w14:paraId="2E45CA3E" w14:textId="77777777" w:rsidR="00AD1F47" w:rsidRPr="0041098B" w:rsidRDefault="00AD1F47" w:rsidP="00AD1F47">
      <w:pPr>
        <w:snapToGrid w:val="0"/>
        <w:spacing w:after="0"/>
      </w:pPr>
    </w:p>
    <w:p w14:paraId="466C6CBD" w14:textId="7527C9F0" w:rsidR="00AD1F47" w:rsidRPr="00E57AB0" w:rsidRDefault="00AD1F47" w:rsidP="00E57AB0">
      <w:pPr>
        <w:snapToGrid w:val="0"/>
        <w:spacing w:after="0"/>
        <w:jc w:val="both"/>
        <w:rPr>
          <w:b/>
          <w:i/>
        </w:rPr>
      </w:pPr>
      <w:r w:rsidRPr="00E57AB0">
        <w:rPr>
          <w:b/>
          <w:i/>
        </w:rPr>
        <w:t>Observation</w:t>
      </w:r>
      <w:r w:rsidR="00E57AB0">
        <w:rPr>
          <w:b/>
          <w:i/>
        </w:rPr>
        <w:t xml:space="preserve"> </w:t>
      </w:r>
      <w:r w:rsidR="00033D20" w:rsidRPr="00E57AB0">
        <w:rPr>
          <w:b/>
          <w:i/>
        </w:rPr>
        <w:t xml:space="preserve">5: </w:t>
      </w:r>
      <w:r w:rsidRPr="00E57AB0">
        <w:rPr>
          <w:b/>
          <w:i/>
        </w:rPr>
        <w:t xml:space="preserve">The interference measured by the ACLR has different absolute values corresponding to different power classes and the absolute value of ACLR </w:t>
      </w:r>
      <w:r w:rsidR="008723FD" w:rsidRPr="00E57AB0">
        <w:rPr>
          <w:b/>
          <w:i/>
        </w:rPr>
        <w:t>would be a</w:t>
      </w:r>
      <w:r w:rsidRPr="00E57AB0">
        <w:rPr>
          <w:b/>
          <w:i/>
        </w:rPr>
        <w:t xml:space="preserve"> reasonable</w:t>
      </w:r>
      <w:r w:rsidR="008723FD" w:rsidRPr="00E57AB0">
        <w:rPr>
          <w:b/>
          <w:i/>
        </w:rPr>
        <w:t xml:space="preserve"> metric for ACLR relaxation</w:t>
      </w:r>
      <w:r w:rsidRPr="00E57AB0">
        <w:rPr>
          <w:b/>
          <w:i/>
        </w:rPr>
        <w:t>.</w:t>
      </w:r>
    </w:p>
    <w:p w14:paraId="48945BB0" w14:textId="77777777" w:rsidR="00AD1F47" w:rsidRDefault="00AD1F47" w:rsidP="00AD1F47">
      <w:pPr>
        <w:snapToGrid w:val="0"/>
        <w:spacing w:after="0"/>
        <w:rPr>
          <w:b/>
        </w:rPr>
      </w:pPr>
    </w:p>
    <w:p w14:paraId="7E8E3E48" w14:textId="06AF4FA6" w:rsidR="00AD1F47" w:rsidRDefault="00AD1F47" w:rsidP="00E57AB0">
      <w:pPr>
        <w:snapToGrid w:val="0"/>
        <w:spacing w:after="0"/>
        <w:jc w:val="both"/>
      </w:pPr>
      <w:r>
        <w:t>Prior to discussion on</w:t>
      </w:r>
      <w:r w:rsidRPr="0041098B">
        <w:t xml:space="preserve"> scenario for power domain enhancement, the definitions of UE channel bandwidth (UE CBW) and BS channel bandwidth (BS CBW) need to be </w:t>
      </w:r>
      <w:r w:rsidR="003C5742">
        <w:rPr>
          <w:rFonts w:hint="eastAsia"/>
        </w:rPr>
        <w:t>discussed</w:t>
      </w:r>
      <w:r>
        <w:t xml:space="preserve"> first</w:t>
      </w:r>
      <w:r w:rsidRPr="0041098B">
        <w:t xml:space="preserve">. </w:t>
      </w:r>
      <w:r w:rsidR="005318CE">
        <w:t xml:space="preserve">For LTE, </w:t>
      </w:r>
      <w:r w:rsidRPr="0041098B">
        <w:t>UE CBW is that the RF bandwidth supporting a single E-UTRA NR RF carrier with the transmission bandwidth configured in the uplink or downlink of a cell, and BS CBW is that the RF bandwidth supporting a single E-UTRA NR RF carrier with the transmission bandwidth configur</w:t>
      </w:r>
      <w:r w:rsidR="00344F58">
        <w:t>ed in the uplink or downlink</w:t>
      </w:r>
      <w:r w:rsidRPr="0041098B">
        <w:t>.</w:t>
      </w:r>
      <w:r>
        <w:t xml:space="preserve"> </w:t>
      </w:r>
      <w:r w:rsidRPr="0041098B">
        <w:t xml:space="preserve">In LTE, they are always the same and it is not possible to add different channel bandwidths in a backwards compatible way, e,g, 20MHz UE CBW is not allowed to access 50MHz BS CBW. This limitation highlights the need for CA when supporting wider bandwidths. However, CA introduces additional overhead and complexity due to the increased number of combinations. </w:t>
      </w:r>
      <w:r w:rsidR="00DE7CE8">
        <w:t>For</w:t>
      </w:r>
      <w:r w:rsidRPr="0041098B">
        <w:t xml:space="preserve"> NR, the limitation was removed and BS CBW to be requested within Rel-15 is limited to a subset of those that equal a sum of component UE CBW (e.g. 10+15=25, 20+50=70) for sub-</w:t>
      </w:r>
      <w:r w:rsidR="00344F58">
        <w:t>6GHz,</w:t>
      </w:r>
      <w:r w:rsidR="00DE7CE8">
        <w:t xml:space="preserve"> namely the UE CBW could be different from the cell CBW</w:t>
      </w:r>
      <w:r w:rsidRPr="0041098B">
        <w:t xml:space="preserve">. </w:t>
      </w:r>
      <w:r w:rsidR="00DE7CE8">
        <w:t xml:space="preserve">In addition, from the scheduling perspective, the active BWP configured for UE side could also be part of the UE CBW. And it has an agreement long time ago that the RF requirements is based on UE CBW rather than based on BWP. </w:t>
      </w:r>
    </w:p>
    <w:p w14:paraId="31F85E12" w14:textId="77777777" w:rsidR="00AD1F47" w:rsidRPr="0041098B" w:rsidRDefault="00AD1F47" w:rsidP="00AD1F47">
      <w:pPr>
        <w:snapToGrid w:val="0"/>
        <w:spacing w:after="0"/>
      </w:pPr>
    </w:p>
    <w:p w14:paraId="203DB394" w14:textId="02B98D69" w:rsidR="00AD1F47" w:rsidRPr="00E57AB0" w:rsidRDefault="00AD1F47" w:rsidP="00AD1F47">
      <w:pPr>
        <w:snapToGrid w:val="0"/>
        <w:spacing w:after="0"/>
        <w:rPr>
          <w:b/>
          <w:i/>
        </w:rPr>
      </w:pPr>
      <w:r w:rsidRPr="00E57AB0">
        <w:rPr>
          <w:b/>
          <w:i/>
        </w:rPr>
        <w:t>Observation</w:t>
      </w:r>
      <w:r w:rsidR="00E57AB0">
        <w:rPr>
          <w:b/>
          <w:i/>
        </w:rPr>
        <w:t xml:space="preserve"> </w:t>
      </w:r>
      <w:r w:rsidR="00033D20" w:rsidRPr="00E57AB0">
        <w:rPr>
          <w:b/>
          <w:i/>
        </w:rPr>
        <w:t>6</w:t>
      </w:r>
      <w:r w:rsidR="00E57AB0">
        <w:rPr>
          <w:b/>
          <w:i/>
        </w:rPr>
        <w:t xml:space="preserve">: </w:t>
      </w:r>
      <w:r w:rsidRPr="00E57AB0">
        <w:rPr>
          <w:b/>
          <w:i/>
        </w:rPr>
        <w:t xml:space="preserve">UE </w:t>
      </w:r>
      <w:r w:rsidR="00DE7CE8" w:rsidRPr="00E57AB0">
        <w:rPr>
          <w:b/>
          <w:i/>
        </w:rPr>
        <w:t xml:space="preserve">CBW could be different from the NW CBW, and the RF requirements are </w:t>
      </w:r>
      <w:r w:rsidR="00946931" w:rsidRPr="00E57AB0">
        <w:rPr>
          <w:b/>
          <w:i/>
        </w:rPr>
        <w:t xml:space="preserve">specified </w:t>
      </w:r>
      <w:r w:rsidR="00DE7CE8" w:rsidRPr="00E57AB0">
        <w:rPr>
          <w:b/>
          <w:i/>
        </w:rPr>
        <w:t>based on UE CBW</w:t>
      </w:r>
      <w:r w:rsidRPr="00E57AB0">
        <w:rPr>
          <w:b/>
          <w:i/>
        </w:rPr>
        <w:t>.</w:t>
      </w:r>
    </w:p>
    <w:p w14:paraId="4336A661" w14:textId="6871966C" w:rsidR="00354D06" w:rsidRDefault="00354D06" w:rsidP="00E57AB0">
      <w:pPr>
        <w:snapToGrid w:val="0"/>
        <w:spacing w:after="0"/>
        <w:jc w:val="both"/>
      </w:pPr>
      <w:r>
        <w:t>With our above understanding to the requirements that can possibly be relaxed, we would like to elaborate the target scenarios as below</w:t>
      </w:r>
      <w:r w:rsidR="00AA605D">
        <w:t xml:space="preserve"> f</w:t>
      </w:r>
      <w:r w:rsidR="00AA605D" w:rsidRPr="00AA605D">
        <w:t xml:space="preserve">rom the perspective of whether there are </w:t>
      </w:r>
      <w:r w:rsidR="00AA605D">
        <w:t>adjacent channel</w:t>
      </w:r>
      <w:r w:rsidR="00031A23">
        <w:t>s</w:t>
      </w:r>
      <w:r w:rsidR="00AA605D" w:rsidRPr="00AA605D">
        <w:t xml:space="preserve"> of different operators</w:t>
      </w:r>
      <w:r>
        <w:rPr>
          <w:rFonts w:hint="eastAsia"/>
        </w:rPr>
        <w:t>:</w:t>
      </w:r>
    </w:p>
    <w:p w14:paraId="5D864789" w14:textId="5083C405" w:rsidR="00354D06" w:rsidRDefault="00354D06" w:rsidP="00E57AB0">
      <w:pPr>
        <w:snapToGrid w:val="0"/>
        <w:spacing w:after="0"/>
        <w:jc w:val="both"/>
      </w:pPr>
      <w:r w:rsidRPr="004F63D8">
        <w:t>Scenario</w:t>
      </w:r>
      <w:r w:rsidR="00E57AB0">
        <w:t xml:space="preserve"> </w:t>
      </w:r>
      <w:r w:rsidRPr="004F63D8">
        <w:t>1:</w:t>
      </w:r>
      <w:r>
        <w:t xml:space="preserve"> </w:t>
      </w:r>
      <w:r w:rsidR="00DD5DE7">
        <w:t>No a</w:t>
      </w:r>
      <w:r w:rsidR="00AA605D" w:rsidRPr="00AA605D">
        <w:t>djacent channel</w:t>
      </w:r>
      <w:r w:rsidR="00031A23">
        <w:t>s</w:t>
      </w:r>
      <w:r w:rsidR="00E57AB0">
        <w:t xml:space="preserve"> </w:t>
      </w:r>
      <w:r w:rsidR="00DD5DE7">
        <w:t>from</w:t>
      </w:r>
      <w:r w:rsidR="00E57AB0">
        <w:t xml:space="preserve"> </w:t>
      </w:r>
      <w:r w:rsidR="00AA605D" w:rsidRPr="00AA605D">
        <w:t>different operators</w:t>
      </w:r>
    </w:p>
    <w:p w14:paraId="0D069C08" w14:textId="10C13423" w:rsidR="00354D06" w:rsidRDefault="00354D06" w:rsidP="00E57AB0">
      <w:pPr>
        <w:snapToGrid w:val="0"/>
        <w:spacing w:after="0"/>
        <w:jc w:val="both"/>
      </w:pPr>
      <w:r>
        <w:t>Scenario</w:t>
      </w:r>
      <w:r w:rsidR="00E57AB0">
        <w:t xml:space="preserve"> </w:t>
      </w:r>
      <w:r>
        <w:t>2</w:t>
      </w:r>
      <w:r w:rsidRPr="004F63D8">
        <w:t>:</w:t>
      </w:r>
      <w:r>
        <w:t xml:space="preserve"> </w:t>
      </w:r>
      <w:r w:rsidR="00E57AB0">
        <w:t>A</w:t>
      </w:r>
      <w:r w:rsidR="00E57AB0" w:rsidRPr="00AA605D">
        <w:t>djacent channel</w:t>
      </w:r>
      <w:r w:rsidR="00E57AB0">
        <w:t xml:space="preserve">s occupied by </w:t>
      </w:r>
      <w:r w:rsidR="00E57AB0" w:rsidRPr="00AA605D">
        <w:t>different operators</w:t>
      </w:r>
      <w:r w:rsidR="00031A23" w:rsidDel="00031A23">
        <w:t xml:space="preserve"> </w:t>
      </w:r>
    </w:p>
    <w:p w14:paraId="1CE836DD" w14:textId="77777777" w:rsidR="00760C9D" w:rsidRDefault="00760C9D" w:rsidP="001E2875">
      <w:pPr>
        <w:jc w:val="both"/>
      </w:pPr>
    </w:p>
    <w:p w14:paraId="662F7CBE" w14:textId="2EF4E29C" w:rsidR="00AD1F47" w:rsidRPr="0041098B" w:rsidRDefault="00AD1F47" w:rsidP="00E57AB0">
      <w:pPr>
        <w:pStyle w:val="3"/>
      </w:pPr>
      <w:r w:rsidRPr="0041098B">
        <w:t>Scenario</w:t>
      </w:r>
      <w:r w:rsidR="00B452CB">
        <w:t xml:space="preserve"> </w:t>
      </w:r>
      <w:r w:rsidRPr="0041098B">
        <w:t xml:space="preserve">1: </w:t>
      </w:r>
      <w:r w:rsidR="00835D85">
        <w:t>No a</w:t>
      </w:r>
      <w:r w:rsidR="00835D85" w:rsidRPr="00AA605D">
        <w:t>djacent channel</w:t>
      </w:r>
      <w:r w:rsidR="00835D85">
        <w:t xml:space="preserve">s from </w:t>
      </w:r>
      <w:r w:rsidR="00835D85" w:rsidRPr="00AA605D">
        <w:t>different operators</w:t>
      </w:r>
    </w:p>
    <w:p w14:paraId="03DF090D" w14:textId="0F468626" w:rsidR="00F6346D" w:rsidRDefault="00AD1F47" w:rsidP="00E57AB0">
      <w:pPr>
        <w:jc w:val="both"/>
      </w:pPr>
      <w:r w:rsidRPr="0041098B">
        <w:t xml:space="preserve">If there are no adjacent channels </w:t>
      </w:r>
      <w:r w:rsidR="00835D85">
        <w:t>from</w:t>
      </w:r>
      <w:r>
        <w:t xml:space="preserve"> different operators</w:t>
      </w:r>
      <w:r w:rsidRPr="0041098B">
        <w:t xml:space="preserve">, ACLR and SEM </w:t>
      </w:r>
      <w:r w:rsidR="005A4ABF">
        <w:t>seem to</w:t>
      </w:r>
      <w:r w:rsidRPr="0041098B">
        <w:t xml:space="preserve"> </w:t>
      </w:r>
      <w:r w:rsidR="001863DA" w:rsidRPr="0041098B">
        <w:t>lose</w:t>
      </w:r>
      <w:r w:rsidRPr="0041098B">
        <w:t xml:space="preserve"> </w:t>
      </w:r>
      <w:r w:rsidR="0055517C">
        <w:t>their</w:t>
      </w:r>
      <w:r w:rsidRPr="0041098B">
        <w:t xml:space="preserve"> original purpose. Because the spectral domain of spurious is broad</w:t>
      </w:r>
      <w:r w:rsidR="005A4ABF">
        <w:t xml:space="preserve"> and regarded as “floor noise”</w:t>
      </w:r>
      <w:r w:rsidRPr="0041098B">
        <w:t xml:space="preserve">, spurious </w:t>
      </w:r>
      <w:r w:rsidR="005A4ABF" w:rsidRPr="005A4ABF">
        <w:t>still contribute to other bands</w:t>
      </w:r>
      <w:r w:rsidR="00140805">
        <w:t xml:space="preserve">. </w:t>
      </w:r>
      <w:r w:rsidRPr="0041098B">
        <w:t>.</w:t>
      </w:r>
      <w:r w:rsidR="00140805">
        <w:t>T</w:t>
      </w:r>
      <w:r w:rsidR="005A4ABF">
        <w:t>his scenario can be further divided into two sub-scenarios</w:t>
      </w:r>
      <w:r w:rsidR="00140805">
        <w:t>.</w:t>
      </w:r>
      <w:r w:rsidR="005A4ABF">
        <w:t xml:space="preserve"> </w:t>
      </w:r>
      <w:r w:rsidR="00140805">
        <w:t xml:space="preserve">When </w:t>
      </w:r>
      <w:r w:rsidR="005A4ABF">
        <w:t xml:space="preserve">UE </w:t>
      </w:r>
      <w:r w:rsidR="009C77A4">
        <w:t>CBW</w:t>
      </w:r>
      <w:r w:rsidR="005A4ABF">
        <w:t xml:space="preserve"> is equal to BS </w:t>
      </w:r>
      <w:r w:rsidR="009C77A4">
        <w:t>CBW</w:t>
      </w:r>
      <w:r w:rsidR="00F6346D">
        <w:t>, for example n28 with 30MHz channel bandwidth</w:t>
      </w:r>
      <w:r w:rsidR="00140805">
        <w:t>,</w:t>
      </w:r>
      <w:r w:rsidR="005A4ABF">
        <w:t xml:space="preserve"> </w:t>
      </w:r>
      <w:r w:rsidR="00140805">
        <w:t>t</w:t>
      </w:r>
      <w:r w:rsidR="00140805" w:rsidRPr="0041098B">
        <w:t>he in-band signal quality can still be measured by other requirements, and the system performance is not affected without A</w:t>
      </w:r>
      <w:r w:rsidR="00CC47DD">
        <w:t>CL</w:t>
      </w:r>
      <w:r w:rsidR="00140805" w:rsidRPr="0041098B">
        <w:t xml:space="preserve">R </w:t>
      </w:r>
      <w:r w:rsidR="00F3469F">
        <w:t>or</w:t>
      </w:r>
      <w:r w:rsidR="00140805" w:rsidRPr="0041098B">
        <w:t xml:space="preserve"> SEM.</w:t>
      </w:r>
      <w:r w:rsidR="00F6346D">
        <w:t xml:space="preserve"> </w:t>
      </w:r>
    </w:p>
    <w:p w14:paraId="132DAE73" w14:textId="58C80D80" w:rsidR="003C7BB1" w:rsidRDefault="007329AB" w:rsidP="003C7BB1">
      <w:pPr>
        <w:jc w:val="both"/>
      </w:pPr>
      <w:r>
        <w:lastRenderedPageBreak/>
        <w:t>A</w:t>
      </w:r>
      <w:r w:rsidRPr="007329AB">
        <w:t xml:space="preserve"> UE </w:t>
      </w:r>
      <w:r>
        <w:t xml:space="preserve">with </w:t>
      </w:r>
      <w:r w:rsidRPr="007329AB">
        <w:t xml:space="preserve">a narrower </w:t>
      </w:r>
      <w:r>
        <w:t xml:space="preserve">UE </w:t>
      </w:r>
      <w:r w:rsidR="009C77A4">
        <w:t>CBW</w:t>
      </w:r>
      <w:r w:rsidRPr="007329AB">
        <w:t xml:space="preserve"> is capable of establishing a connection to a BS with a </w:t>
      </w:r>
      <w:r w:rsidR="00874A32" w:rsidRPr="00DC0A4A">
        <w:t>wider</w:t>
      </w:r>
      <w:r w:rsidRPr="007329AB">
        <w:t xml:space="preserve"> </w:t>
      </w:r>
      <w:r>
        <w:t xml:space="preserve">BS </w:t>
      </w:r>
      <w:r w:rsidR="009C77A4">
        <w:t>CBW</w:t>
      </w:r>
      <w:r w:rsidRPr="007329AB">
        <w:t xml:space="preserve">. For instance, a UE with a </w:t>
      </w:r>
      <w:r>
        <w:t xml:space="preserve">UE </w:t>
      </w:r>
      <w:r w:rsidR="009C77A4">
        <w:t>CBW</w:t>
      </w:r>
      <w:r w:rsidRPr="007329AB">
        <w:t xml:space="preserve"> of </w:t>
      </w:r>
      <w:r w:rsidR="00A56D89">
        <w:t>20</w:t>
      </w:r>
      <w:r w:rsidRPr="007329AB">
        <w:t xml:space="preserve">MHz is able to connect to a BS with a </w:t>
      </w:r>
      <w:r>
        <w:t xml:space="preserve">BS </w:t>
      </w:r>
      <w:r w:rsidR="009C77A4">
        <w:t>CBW</w:t>
      </w:r>
      <w:r w:rsidRPr="007329AB">
        <w:t xml:space="preserve"> of </w:t>
      </w:r>
      <w:r w:rsidR="00A56D89">
        <w:t>100</w:t>
      </w:r>
      <w:r w:rsidRPr="007329AB">
        <w:t>MHz within band n41</w:t>
      </w:r>
      <w:r w:rsidR="00A56D89">
        <w:t>.</w:t>
      </w:r>
      <w:r w:rsidR="005A4ABF">
        <w:t xml:space="preserve"> In this </w:t>
      </w:r>
      <w:r w:rsidR="00140805">
        <w:t>sub-</w:t>
      </w:r>
      <w:r w:rsidR="005A4ABF">
        <w:t>s</w:t>
      </w:r>
      <w:r w:rsidR="005A4ABF" w:rsidRPr="00455E35">
        <w:t>cenario</w:t>
      </w:r>
      <w:r w:rsidR="005A4ABF">
        <w:t xml:space="preserve">, a common </w:t>
      </w:r>
      <w:r w:rsidR="005A4ABF" w:rsidRPr="00455E35">
        <w:rPr>
          <w:lang w:val="en-US"/>
        </w:rPr>
        <w:t xml:space="preserve">characteristic of </w:t>
      </w:r>
      <w:r w:rsidR="005A4ABF">
        <w:rPr>
          <w:lang w:val="en-US"/>
        </w:rPr>
        <w:t xml:space="preserve">BS </w:t>
      </w:r>
      <w:r w:rsidR="009C77A4">
        <w:rPr>
          <w:lang w:val="en-US"/>
        </w:rPr>
        <w:t>CBW</w:t>
      </w:r>
      <w:r w:rsidR="005A4ABF" w:rsidRPr="00455E35">
        <w:rPr>
          <w:lang w:val="en-US"/>
        </w:rPr>
        <w:t xml:space="preserve"> is that all subcarriers </w:t>
      </w:r>
      <w:r w:rsidR="005A4ABF">
        <w:rPr>
          <w:lang w:val="en-US"/>
        </w:rPr>
        <w:t>need to</w:t>
      </w:r>
      <w:r w:rsidR="005A4ABF" w:rsidRPr="00455E35">
        <w:rPr>
          <w:lang w:val="en-US"/>
        </w:rPr>
        <w:t xml:space="preserve"> be coherent</w:t>
      </w:r>
      <w:r w:rsidR="005A4ABF">
        <w:rPr>
          <w:lang w:val="en-US"/>
        </w:rPr>
        <w:t xml:space="preserve"> between subcarriers</w:t>
      </w:r>
      <w:r w:rsidR="005A4ABF" w:rsidRPr="00455E35">
        <w:rPr>
          <w:lang w:val="en-US"/>
        </w:rPr>
        <w:t xml:space="preserve"> achieved by transmitting</w:t>
      </w:r>
      <w:r w:rsidR="005A4ABF">
        <w:rPr>
          <w:lang w:val="en-US"/>
        </w:rPr>
        <w:t>/receiving</w:t>
      </w:r>
      <w:r w:rsidR="005A4ABF" w:rsidRPr="00455E35">
        <w:rPr>
          <w:lang w:val="en-US"/>
        </w:rPr>
        <w:t xml:space="preserve"> the whole carrier though the same RF chain</w:t>
      </w:r>
      <w:r w:rsidR="005A4ABF">
        <w:rPr>
          <w:lang w:val="en-US"/>
        </w:rPr>
        <w:t xml:space="preserve">, and can </w:t>
      </w:r>
      <w:r w:rsidR="00CC47DD">
        <w:rPr>
          <w:lang w:val="en-US"/>
        </w:rPr>
        <w:t>be processed by a single FFT</w:t>
      </w:r>
      <w:r w:rsidR="00140805">
        <w:rPr>
          <w:lang w:val="en-US"/>
        </w:rPr>
        <w:t xml:space="preserve">. Therefore, </w:t>
      </w:r>
      <w:r w:rsidR="00140805" w:rsidRPr="00140805">
        <w:rPr>
          <w:lang w:val="en-US"/>
        </w:rPr>
        <w:t xml:space="preserve">regardless of whether the UE </w:t>
      </w:r>
      <w:r w:rsidR="009C77A4">
        <w:rPr>
          <w:lang w:val="en-US"/>
        </w:rPr>
        <w:t>CBW</w:t>
      </w:r>
      <w:r w:rsidR="00140805" w:rsidRPr="00140805">
        <w:rPr>
          <w:lang w:val="en-US"/>
        </w:rPr>
        <w:t xml:space="preserve"> is equal to </w:t>
      </w:r>
      <w:r w:rsidR="00140805">
        <w:rPr>
          <w:lang w:val="en-US"/>
        </w:rPr>
        <w:t xml:space="preserve">BS </w:t>
      </w:r>
      <w:r w:rsidR="009C77A4">
        <w:rPr>
          <w:lang w:val="en-US"/>
        </w:rPr>
        <w:t>CBW</w:t>
      </w:r>
      <w:r w:rsidR="00140805">
        <w:rPr>
          <w:lang w:val="en-US"/>
        </w:rPr>
        <w:t xml:space="preserve">, </w:t>
      </w:r>
      <w:r w:rsidR="00140805" w:rsidRPr="00140805">
        <w:rPr>
          <w:lang w:val="en-US"/>
        </w:rPr>
        <w:t>UE in a channel without any adjacent channels of different operators can be allowed not to meet the existing ACLR requirement.</w:t>
      </w:r>
      <w:r w:rsidR="005C7819">
        <w:rPr>
          <w:lang w:val="en-US"/>
        </w:rPr>
        <w:t xml:space="preserve"> Further, </w:t>
      </w:r>
      <w:r w:rsidR="005C7819">
        <w:t>c</w:t>
      </w:r>
      <w:r w:rsidR="00AD1F47" w:rsidRPr="0041098B">
        <w:t xml:space="preserve">onsidering that the SEM defined by absolute values is related to regulations, it is recommended to </w:t>
      </w:r>
      <w:r w:rsidR="005C7819">
        <w:t>further check whether SEM</w:t>
      </w:r>
      <w:r w:rsidR="00AD1F47" w:rsidRPr="0041098B">
        <w:t xml:space="preserve"> can be relaxed.</w:t>
      </w:r>
      <w:r w:rsidR="00F6346D" w:rsidRPr="00F6346D">
        <w:t xml:space="preserve"> Especially for the FDD band, </w:t>
      </w:r>
      <w:r w:rsidR="00CC47DD" w:rsidRPr="0041098B">
        <w:t>A</w:t>
      </w:r>
      <w:r w:rsidR="00CC47DD">
        <w:t>CL</w:t>
      </w:r>
      <w:r w:rsidR="00CC47DD" w:rsidRPr="0041098B">
        <w:t xml:space="preserve">R </w:t>
      </w:r>
      <w:r w:rsidR="00F6346D" w:rsidRPr="0041098B">
        <w:t>and SEM</w:t>
      </w:r>
      <w:r w:rsidR="00F6346D" w:rsidRPr="00F6346D">
        <w:t xml:space="preserve"> </w:t>
      </w:r>
      <w:r w:rsidR="00F6346D">
        <w:t xml:space="preserve">relaxation </w:t>
      </w:r>
      <w:r w:rsidR="00F6346D" w:rsidRPr="00F6346D">
        <w:t>may affect the downlink</w:t>
      </w:r>
      <w:r w:rsidR="00F6346D">
        <w:t>.</w:t>
      </w:r>
      <w:r w:rsidR="00F6346D" w:rsidRPr="00F6346D">
        <w:t xml:space="preserve"> Therefore, t</w:t>
      </w:r>
      <w:bookmarkStart w:id="5" w:name="_Hlk163427459"/>
      <w:r w:rsidR="00F6346D" w:rsidRPr="00F6346D">
        <w:t xml:space="preserve">he </w:t>
      </w:r>
      <w:r w:rsidR="00A56D89">
        <w:t>R</w:t>
      </w:r>
      <w:r w:rsidR="00F6346D" w:rsidRPr="00F6346D">
        <w:t>SD needs to be further considered</w:t>
      </w:r>
      <w:bookmarkEnd w:id="5"/>
      <w:r w:rsidR="00F6346D" w:rsidRPr="00F6346D">
        <w:t>.</w:t>
      </w:r>
      <w:r w:rsidR="003C7BB1">
        <w:t xml:space="preserve"> </w:t>
      </w:r>
    </w:p>
    <w:p w14:paraId="2766987D" w14:textId="5A8A3549" w:rsidR="00D44446" w:rsidRPr="003C7BB1" w:rsidRDefault="00AD1F47" w:rsidP="003C7BB1">
      <w:pPr>
        <w:jc w:val="both"/>
        <w:rPr>
          <w:b/>
          <w:i/>
        </w:rPr>
      </w:pPr>
      <w:r w:rsidRPr="003C7BB1">
        <w:rPr>
          <w:b/>
          <w:i/>
        </w:rPr>
        <w:t>Proposal 1: UE in a channel without any adjacent channels</w:t>
      </w:r>
      <w:r w:rsidR="00031A23" w:rsidRPr="003C7BB1">
        <w:rPr>
          <w:b/>
          <w:i/>
        </w:rPr>
        <w:t xml:space="preserve"> of different operators</w:t>
      </w:r>
      <w:r w:rsidRPr="003C7BB1">
        <w:rPr>
          <w:b/>
          <w:i/>
        </w:rPr>
        <w:t xml:space="preserve"> can be allowed not to meet the existing ACLR requirement</w:t>
      </w:r>
      <w:r w:rsidR="00D44446" w:rsidRPr="003C7BB1">
        <w:rPr>
          <w:b/>
          <w:i/>
        </w:rPr>
        <w:t xml:space="preserve">, and further consider </w:t>
      </w:r>
    </w:p>
    <w:p w14:paraId="2F336620" w14:textId="77777777" w:rsidR="00D44446" w:rsidRPr="003C7BB1" w:rsidRDefault="00385FEC" w:rsidP="003C7BB1">
      <w:pPr>
        <w:pStyle w:val="aff6"/>
        <w:numPr>
          <w:ilvl w:val="0"/>
          <w:numId w:val="33"/>
        </w:numPr>
        <w:snapToGrid w:val="0"/>
        <w:ind w:firstLineChars="0"/>
        <w:rPr>
          <w:rFonts w:ascii="Times New Roman" w:hAnsi="Times New Roman"/>
          <w:b/>
          <w:i/>
          <w:kern w:val="0"/>
          <w:sz w:val="20"/>
          <w:szCs w:val="20"/>
          <w:lang w:val="en-GB" w:eastAsia="zh-CN"/>
        </w:rPr>
      </w:pPr>
      <w:r w:rsidRPr="003C7BB1">
        <w:rPr>
          <w:rFonts w:ascii="Times New Roman" w:hAnsi="Times New Roman"/>
          <w:b/>
          <w:i/>
          <w:kern w:val="0"/>
          <w:sz w:val="20"/>
          <w:szCs w:val="20"/>
          <w:lang w:val="en-GB" w:eastAsia="zh-CN"/>
        </w:rPr>
        <w:t xml:space="preserve">whether </w:t>
      </w:r>
      <w:r w:rsidR="005C7819" w:rsidRPr="003C7BB1">
        <w:rPr>
          <w:rFonts w:ascii="Times New Roman" w:hAnsi="Times New Roman"/>
          <w:b/>
          <w:i/>
          <w:kern w:val="0"/>
          <w:sz w:val="20"/>
          <w:szCs w:val="20"/>
          <w:lang w:val="en-GB" w:eastAsia="zh-CN"/>
        </w:rPr>
        <w:t>SEM can be relaxed</w:t>
      </w:r>
    </w:p>
    <w:p w14:paraId="6B50D31C" w14:textId="3F65B52A" w:rsidR="00385FEC" w:rsidRPr="003C7BB1" w:rsidRDefault="00A56D89" w:rsidP="003C7BB1">
      <w:pPr>
        <w:pStyle w:val="aff6"/>
        <w:numPr>
          <w:ilvl w:val="0"/>
          <w:numId w:val="33"/>
        </w:numPr>
        <w:snapToGrid w:val="0"/>
        <w:ind w:firstLineChars="0"/>
        <w:rPr>
          <w:rFonts w:ascii="Times New Roman" w:hAnsi="Times New Roman"/>
          <w:b/>
          <w:i/>
          <w:kern w:val="0"/>
          <w:sz w:val="20"/>
          <w:szCs w:val="20"/>
          <w:lang w:val="en-GB" w:eastAsia="zh-CN"/>
        </w:rPr>
      </w:pPr>
      <w:r w:rsidRPr="003C7BB1">
        <w:rPr>
          <w:rFonts w:ascii="Times New Roman" w:hAnsi="Times New Roman"/>
          <w:b/>
          <w:i/>
          <w:kern w:val="0"/>
          <w:sz w:val="20"/>
          <w:szCs w:val="20"/>
          <w:lang w:val="en-GB" w:eastAsia="zh-CN"/>
        </w:rPr>
        <w:t>R</w:t>
      </w:r>
      <w:r w:rsidR="00385FEC" w:rsidRPr="003C7BB1">
        <w:rPr>
          <w:rFonts w:ascii="Times New Roman" w:hAnsi="Times New Roman"/>
          <w:b/>
          <w:i/>
          <w:kern w:val="0"/>
          <w:sz w:val="20"/>
          <w:szCs w:val="20"/>
          <w:lang w:val="en-GB" w:eastAsia="zh-CN"/>
        </w:rPr>
        <w:t>SD for FDD band</w:t>
      </w:r>
    </w:p>
    <w:p w14:paraId="24BE36DD" w14:textId="5DCD1636" w:rsidR="00B452CB" w:rsidRDefault="00B452CB" w:rsidP="00B452CB">
      <w:pPr>
        <w:snapToGrid w:val="0"/>
        <w:rPr>
          <w:b/>
          <w:szCs w:val="21"/>
        </w:rPr>
      </w:pPr>
    </w:p>
    <w:p w14:paraId="09F76852" w14:textId="208803B4" w:rsidR="00B452CB" w:rsidRPr="0041098B" w:rsidRDefault="00B452CB" w:rsidP="00B452CB">
      <w:pPr>
        <w:pStyle w:val="3"/>
      </w:pPr>
      <w:r w:rsidRPr="0041098B">
        <w:t>Scenario</w:t>
      </w:r>
      <w:r>
        <w:t xml:space="preserve"> </w:t>
      </w:r>
      <w:r w:rsidRPr="00AD1F47">
        <w:t xml:space="preserve">2: </w:t>
      </w:r>
      <w:r w:rsidR="003C7BB1">
        <w:t>A</w:t>
      </w:r>
      <w:r w:rsidR="003C7BB1" w:rsidRPr="00AA605D">
        <w:t>djacent channel</w:t>
      </w:r>
      <w:r w:rsidR="003C7BB1">
        <w:t xml:space="preserve">s occupied by </w:t>
      </w:r>
      <w:r w:rsidR="003C7BB1" w:rsidRPr="00AA605D">
        <w:t>different operators</w:t>
      </w:r>
    </w:p>
    <w:p w14:paraId="11526607" w14:textId="7CB1F230" w:rsidR="00316DCD" w:rsidRDefault="00316DCD" w:rsidP="003C7BB1">
      <w:pPr>
        <w:snapToGrid w:val="0"/>
        <w:spacing w:beforeLines="50" w:before="120" w:after="0"/>
        <w:jc w:val="both"/>
      </w:pPr>
      <w:r w:rsidRPr="0041098B">
        <w:t xml:space="preserve">When the adjacent channels </w:t>
      </w:r>
      <w:r w:rsidRPr="00316DCD">
        <w:t xml:space="preserve">of different operators </w:t>
      </w:r>
      <w:r w:rsidRPr="0041098B">
        <w:t>are present</w:t>
      </w:r>
      <w:r>
        <w:t>, there are still two sub-scenarios.</w:t>
      </w:r>
      <w:r w:rsidR="00182B07">
        <w:t xml:space="preserve"> </w:t>
      </w:r>
      <w:r w:rsidR="00FE6CDA">
        <w:t xml:space="preserve">For the scenario </w:t>
      </w:r>
      <w:r w:rsidR="00DF7878">
        <w:t>2</w:t>
      </w:r>
      <w:r w:rsidR="0014134B">
        <w:t>-1</w:t>
      </w:r>
      <w:r w:rsidR="00FE6CDA">
        <w:t xml:space="preserve"> that the UE </w:t>
      </w:r>
      <w:r w:rsidR="009C77A4">
        <w:t>CBW</w:t>
      </w:r>
      <w:r w:rsidR="00FE6CDA">
        <w:t xml:space="preserve"> is equal to </w:t>
      </w:r>
      <w:r w:rsidR="00FE6CDA" w:rsidRPr="00FE6CDA">
        <w:t xml:space="preserve">BS </w:t>
      </w:r>
      <w:r w:rsidR="009C77A4">
        <w:t>CBW</w:t>
      </w:r>
      <w:r w:rsidR="00FE6CDA">
        <w:t>, for example n39 with 30MHz channel bandwidth and n1 with 45MHz channel bandwi</w:t>
      </w:r>
      <w:r w:rsidR="0014134B">
        <w:t>dth are adjacent.</w:t>
      </w:r>
      <w:r w:rsidR="00FE6CDA" w:rsidRPr="00FE6CDA">
        <w:t xml:space="preserve"> </w:t>
      </w:r>
      <w:r w:rsidR="00FE6CDA">
        <w:t>W</w:t>
      </w:r>
      <w:r w:rsidR="00FE6CDA" w:rsidRPr="00FE6CDA">
        <w:t xml:space="preserve">e think there is still some room to relax </w:t>
      </w:r>
      <w:r w:rsidR="0014134B">
        <w:t>ACLR and/or SEM</w:t>
      </w:r>
      <w:r w:rsidR="00FE6CDA" w:rsidRPr="00FE6CDA">
        <w:t xml:space="preserve"> </w:t>
      </w:r>
      <w:r w:rsidR="0014134B" w:rsidRPr="0041098B">
        <w:t>according to the new WID as</w:t>
      </w:r>
      <w:r w:rsidR="0014134B" w:rsidRPr="00FE6CDA">
        <w:t xml:space="preserve"> </w:t>
      </w:r>
      <w:r w:rsidR="00FE6CDA" w:rsidRPr="00FE6CDA">
        <w:t xml:space="preserve">whether the RF requirement can be relaxed still depends on BS indication. </w:t>
      </w:r>
      <w:r w:rsidR="0014134B" w:rsidRPr="0014134B">
        <w:t>The ACLR</w:t>
      </w:r>
      <w:r w:rsidR="0014134B">
        <w:t xml:space="preserve"> for</w:t>
      </w:r>
      <w:r w:rsidR="0014134B" w:rsidRPr="0014134B">
        <w:t xml:space="preserve"> PC2 as an example is determined through co-existence study based </w:t>
      </w:r>
      <w:r w:rsidR="00344F58">
        <w:t>on uplink system simulation</w:t>
      </w:r>
      <w:r w:rsidR="0014134B" w:rsidRPr="0014134B">
        <w:t>. For the purpose of simplifying simulation, all UEs in one system whatever the interfering system or the victim system has same power class and ACLR requirement, which can be used as a baseline for further investigating the impact of ACLR</w:t>
      </w:r>
      <w:r w:rsidR="0014134B">
        <w:t xml:space="preserve"> and/or SEM</w:t>
      </w:r>
      <w:r w:rsidR="0014134B" w:rsidRPr="0014134B">
        <w:t xml:space="preserve"> relaxation on the victim system. Based on this simulation assumption, BS signals several UEs, especially indoor ones, to enable ACLR</w:t>
      </w:r>
      <w:r w:rsidR="0014134B">
        <w:t xml:space="preserve"> and/or SEM</w:t>
      </w:r>
      <w:r w:rsidR="0014134B" w:rsidRPr="0014134B">
        <w:t xml:space="preserve"> relaxation. In this case, we anticipate that the performance of the victim system will not be compromised. Actually, the extent and the feasibility of relaxing the ACLR requirement can be readily evaluated by using the co-existence simulator. In addition, whether the two CCs are deployed at the same site or different sites also needs to be considered. </w:t>
      </w:r>
    </w:p>
    <w:p w14:paraId="6C06A812" w14:textId="176AFACF" w:rsidR="0014134B" w:rsidRDefault="0014134B">
      <w:pPr>
        <w:snapToGrid w:val="0"/>
        <w:spacing w:after="0"/>
        <w:jc w:val="both"/>
        <w:rPr>
          <w:lang w:val="en-US"/>
        </w:rPr>
      </w:pPr>
    </w:p>
    <w:p w14:paraId="381FC0BD" w14:textId="07AB625B" w:rsidR="00D44446" w:rsidRPr="000925C2" w:rsidRDefault="00D44446" w:rsidP="000925C2">
      <w:pPr>
        <w:snapToGrid w:val="0"/>
        <w:spacing w:after="0"/>
        <w:jc w:val="both"/>
        <w:rPr>
          <w:b/>
          <w:i/>
        </w:rPr>
      </w:pPr>
      <w:r w:rsidRPr="000925C2">
        <w:rPr>
          <w:b/>
          <w:i/>
        </w:rPr>
        <w:t xml:space="preserve">Proposal 2: </w:t>
      </w:r>
      <w:r w:rsidR="00DF7878" w:rsidRPr="000925C2">
        <w:rPr>
          <w:b/>
          <w:i/>
        </w:rPr>
        <w:t xml:space="preserve">For the scenario: UE </w:t>
      </w:r>
      <w:r w:rsidR="009C77A4" w:rsidRPr="000925C2">
        <w:rPr>
          <w:b/>
          <w:i/>
        </w:rPr>
        <w:t>CBW</w:t>
      </w:r>
      <w:r w:rsidR="00DF7878" w:rsidRPr="000925C2">
        <w:rPr>
          <w:b/>
          <w:i/>
        </w:rPr>
        <w:t xml:space="preserve">=BS </w:t>
      </w:r>
      <w:r w:rsidR="009C77A4" w:rsidRPr="000925C2">
        <w:rPr>
          <w:b/>
          <w:i/>
        </w:rPr>
        <w:t>CBW</w:t>
      </w:r>
      <w:r w:rsidR="00DF7878" w:rsidRPr="000925C2">
        <w:rPr>
          <w:b/>
          <w:i/>
        </w:rPr>
        <w:t>, s</w:t>
      </w:r>
      <w:r w:rsidRPr="000925C2">
        <w:rPr>
          <w:b/>
          <w:i/>
        </w:rPr>
        <w:t>everal UE</w:t>
      </w:r>
      <w:r w:rsidR="00DF7878" w:rsidRPr="000925C2">
        <w:rPr>
          <w:b/>
          <w:i/>
        </w:rPr>
        <w:t xml:space="preserve"> indicted by BS</w:t>
      </w:r>
      <w:r w:rsidRPr="000925C2">
        <w:rPr>
          <w:b/>
          <w:i/>
        </w:rPr>
        <w:t xml:space="preserve"> in a channel with adjacent channels may be allowed to meet </w:t>
      </w:r>
      <w:r w:rsidR="00DF7878" w:rsidRPr="000925C2">
        <w:rPr>
          <w:b/>
          <w:i/>
        </w:rPr>
        <w:t xml:space="preserve">relaxed </w:t>
      </w:r>
      <w:r w:rsidRPr="000925C2">
        <w:rPr>
          <w:b/>
          <w:i/>
        </w:rPr>
        <w:t xml:space="preserve">ACLR requirement, which </w:t>
      </w:r>
      <w:bookmarkStart w:id="6" w:name="_Hlk163433070"/>
      <w:r w:rsidRPr="000925C2">
        <w:rPr>
          <w:b/>
          <w:i/>
        </w:rPr>
        <w:t xml:space="preserve">the feasibility need to be </w:t>
      </w:r>
      <w:r w:rsidR="00E41C94" w:rsidRPr="000925C2">
        <w:rPr>
          <w:rFonts w:hint="eastAsia"/>
          <w:b/>
          <w:i/>
        </w:rPr>
        <w:t>further</w:t>
      </w:r>
      <w:r w:rsidR="00E41C94" w:rsidRPr="000925C2">
        <w:rPr>
          <w:b/>
          <w:i/>
        </w:rPr>
        <w:t xml:space="preserve"> </w:t>
      </w:r>
      <w:r w:rsidRPr="000925C2">
        <w:rPr>
          <w:b/>
          <w:i/>
        </w:rPr>
        <w:t>evaluated</w:t>
      </w:r>
      <w:r w:rsidR="00B452CB" w:rsidRPr="000925C2">
        <w:rPr>
          <w:b/>
          <w:i/>
        </w:rPr>
        <w:t>:</w:t>
      </w:r>
    </w:p>
    <w:bookmarkEnd w:id="6"/>
    <w:p w14:paraId="0537938E" w14:textId="7179885A" w:rsidR="00D44446" w:rsidRPr="000925C2" w:rsidRDefault="00D44446" w:rsidP="000925C2">
      <w:pPr>
        <w:numPr>
          <w:ilvl w:val="0"/>
          <w:numId w:val="28"/>
        </w:numPr>
        <w:snapToGrid w:val="0"/>
        <w:spacing w:after="0"/>
        <w:jc w:val="both"/>
        <w:rPr>
          <w:b/>
          <w:i/>
        </w:rPr>
      </w:pPr>
      <w:r w:rsidRPr="000925C2">
        <w:rPr>
          <w:b/>
          <w:i/>
        </w:rPr>
        <w:t>Two deployments including the same site or different sites.</w:t>
      </w:r>
    </w:p>
    <w:p w14:paraId="3C66E105" w14:textId="6DF22C5D" w:rsidR="00D44446" w:rsidRPr="000925C2" w:rsidRDefault="00D44446" w:rsidP="000925C2">
      <w:pPr>
        <w:numPr>
          <w:ilvl w:val="0"/>
          <w:numId w:val="28"/>
        </w:numPr>
        <w:snapToGrid w:val="0"/>
        <w:spacing w:after="0"/>
        <w:jc w:val="both"/>
        <w:rPr>
          <w:b/>
          <w:i/>
        </w:rPr>
      </w:pPr>
      <w:r w:rsidRPr="000925C2">
        <w:rPr>
          <w:b/>
          <w:i/>
        </w:rPr>
        <w:t>Whether SEM can be relaxed</w:t>
      </w:r>
    </w:p>
    <w:p w14:paraId="7E249CF4" w14:textId="5DA640F6" w:rsidR="00D44446" w:rsidRPr="000925C2" w:rsidRDefault="00D44446">
      <w:pPr>
        <w:snapToGrid w:val="0"/>
        <w:spacing w:after="0"/>
        <w:jc w:val="both"/>
      </w:pPr>
    </w:p>
    <w:p w14:paraId="4F27CC4E" w14:textId="50FA4464" w:rsidR="004E1823" w:rsidRDefault="00DF7878" w:rsidP="004E1823">
      <w:pPr>
        <w:snapToGrid w:val="0"/>
        <w:spacing w:after="0"/>
        <w:jc w:val="both"/>
        <w:rPr>
          <w:lang w:val="en-US"/>
        </w:rPr>
      </w:pPr>
      <w:r w:rsidRPr="00DF7878">
        <w:rPr>
          <w:lang w:val="en-US"/>
        </w:rPr>
        <w:t xml:space="preserve">For the scenario </w:t>
      </w:r>
      <w:r>
        <w:rPr>
          <w:lang w:val="en-US"/>
        </w:rPr>
        <w:t>2</w:t>
      </w:r>
      <w:r w:rsidRPr="00DF7878">
        <w:rPr>
          <w:lang w:val="en-US"/>
        </w:rPr>
        <w:t>-</w:t>
      </w:r>
      <w:r>
        <w:rPr>
          <w:lang w:val="en-US"/>
        </w:rPr>
        <w:t>2</w:t>
      </w:r>
      <w:r w:rsidRPr="00DF7878">
        <w:rPr>
          <w:lang w:val="en-US"/>
        </w:rPr>
        <w:t xml:space="preserve"> that the UE </w:t>
      </w:r>
      <w:r w:rsidR="009C77A4">
        <w:rPr>
          <w:lang w:val="en-US"/>
        </w:rPr>
        <w:t>CBW</w:t>
      </w:r>
      <w:r w:rsidRPr="00DF7878">
        <w:rPr>
          <w:lang w:val="en-US"/>
        </w:rPr>
        <w:t xml:space="preserve"> is </w:t>
      </w:r>
      <w:r>
        <w:rPr>
          <w:lang w:val="en-US"/>
        </w:rPr>
        <w:t>narrower than</w:t>
      </w:r>
      <w:r w:rsidRPr="00DF7878">
        <w:rPr>
          <w:lang w:val="en-US"/>
        </w:rPr>
        <w:t xml:space="preserve"> BS </w:t>
      </w:r>
      <w:r w:rsidR="009C77A4">
        <w:rPr>
          <w:lang w:val="en-US"/>
        </w:rPr>
        <w:t>CBW</w:t>
      </w:r>
      <w:r w:rsidRPr="00DF7878">
        <w:rPr>
          <w:lang w:val="en-US"/>
        </w:rPr>
        <w:t>, for example</w:t>
      </w:r>
      <w:r w:rsidR="007E5A80">
        <w:rPr>
          <w:lang w:val="en-US"/>
        </w:rPr>
        <w:t>,</w:t>
      </w:r>
      <w:r w:rsidRPr="00DF7878">
        <w:rPr>
          <w:lang w:val="en-US"/>
        </w:rPr>
        <w:t xml:space="preserve"> </w:t>
      </w:r>
      <w:r w:rsidR="007E5A80">
        <w:rPr>
          <w:lang w:val="en-US"/>
        </w:rPr>
        <w:t>a</w:t>
      </w:r>
      <w:r w:rsidRPr="00DF7878">
        <w:rPr>
          <w:lang w:val="en-US"/>
        </w:rPr>
        <w:t xml:space="preserve"> </w:t>
      </w:r>
      <w:r>
        <w:rPr>
          <w:lang w:val="en-US"/>
        </w:rPr>
        <w:t xml:space="preserve">RedCap </w:t>
      </w:r>
      <w:r w:rsidRPr="00DF7878">
        <w:rPr>
          <w:lang w:val="en-US"/>
        </w:rPr>
        <w:t xml:space="preserve">UE with </w:t>
      </w:r>
      <w:r>
        <w:rPr>
          <w:lang w:val="en-US"/>
        </w:rPr>
        <w:t>2</w:t>
      </w:r>
      <w:r w:rsidRPr="00DF7878">
        <w:rPr>
          <w:lang w:val="en-US"/>
        </w:rPr>
        <w:t xml:space="preserve">0MHz UE </w:t>
      </w:r>
      <w:r w:rsidR="009C77A4">
        <w:rPr>
          <w:lang w:val="en-US"/>
        </w:rPr>
        <w:t>CBW</w:t>
      </w:r>
      <w:r w:rsidRPr="00DF7878">
        <w:rPr>
          <w:lang w:val="en-US"/>
        </w:rPr>
        <w:t xml:space="preserve"> can connect to a BS with </w:t>
      </w:r>
      <w:r>
        <w:rPr>
          <w:lang w:val="en-US"/>
        </w:rPr>
        <w:t>10</w:t>
      </w:r>
      <w:r w:rsidRPr="00DF7878">
        <w:rPr>
          <w:lang w:val="en-US"/>
        </w:rPr>
        <w:t xml:space="preserve">0MHz BS </w:t>
      </w:r>
      <w:r w:rsidR="009C77A4">
        <w:rPr>
          <w:lang w:val="en-US"/>
        </w:rPr>
        <w:t>CBW</w:t>
      </w:r>
      <w:r w:rsidRPr="00DF7878">
        <w:rPr>
          <w:lang w:val="en-US"/>
        </w:rPr>
        <w:t xml:space="preserve"> in band n</w:t>
      </w:r>
      <w:r>
        <w:rPr>
          <w:lang w:val="en-US"/>
        </w:rPr>
        <w:t>7</w:t>
      </w:r>
      <w:r w:rsidR="00B452CB">
        <w:rPr>
          <w:lang w:val="en-US"/>
        </w:rPr>
        <w:t>8</w:t>
      </w:r>
      <w:r>
        <w:rPr>
          <w:lang w:val="en-US"/>
        </w:rPr>
        <w:t xml:space="preserve">. </w:t>
      </w:r>
      <w:r w:rsidR="007E5A80">
        <w:rPr>
          <w:lang w:val="en-US"/>
        </w:rPr>
        <w:t>When the</w:t>
      </w:r>
      <w:r w:rsidR="007E5A80" w:rsidRPr="007E5A80">
        <w:rPr>
          <w:lang w:val="en-US"/>
        </w:rPr>
        <w:t xml:space="preserve"> frequency </w:t>
      </w:r>
      <w:r w:rsidR="007E5A80">
        <w:rPr>
          <w:lang w:val="en-US"/>
        </w:rPr>
        <w:t>offset</w:t>
      </w:r>
      <w:r w:rsidR="007E5A80" w:rsidRPr="007E5A80">
        <w:rPr>
          <w:lang w:val="en-US"/>
        </w:rPr>
        <w:t xml:space="preserve"> between </w:t>
      </w:r>
      <w:r w:rsidR="007E5A80">
        <w:rPr>
          <w:lang w:val="en-US"/>
        </w:rPr>
        <w:t>the</w:t>
      </w:r>
      <w:r w:rsidR="007E5A80" w:rsidRPr="007E5A80">
        <w:rPr>
          <w:lang w:val="en-US"/>
        </w:rPr>
        <w:t xml:space="preserve"> edge of</w:t>
      </w:r>
      <w:r w:rsidR="007E5A80">
        <w:rPr>
          <w:lang w:val="en-US"/>
        </w:rPr>
        <w:t xml:space="preserve"> </w:t>
      </w:r>
      <w:r w:rsidR="007E5A80" w:rsidRPr="007E5A80">
        <w:rPr>
          <w:lang w:val="en-US"/>
        </w:rPr>
        <w:t xml:space="preserve">UE </w:t>
      </w:r>
      <w:r w:rsidR="009C77A4">
        <w:rPr>
          <w:lang w:val="en-US"/>
        </w:rPr>
        <w:t>CBW</w:t>
      </w:r>
      <w:r w:rsidR="007E5A80">
        <w:rPr>
          <w:lang w:val="en-US"/>
        </w:rPr>
        <w:t xml:space="preserve"> and the edge of BS </w:t>
      </w:r>
      <w:r w:rsidR="009C77A4">
        <w:rPr>
          <w:lang w:val="en-US"/>
        </w:rPr>
        <w:t>CBW</w:t>
      </w:r>
      <w:r w:rsidR="007E5A80" w:rsidRPr="007E5A80">
        <w:rPr>
          <w:lang w:val="en-US"/>
        </w:rPr>
        <w:t xml:space="preserve"> is </w:t>
      </w:r>
      <w:r w:rsidR="00874A32">
        <w:rPr>
          <w:lang w:val="en-US"/>
        </w:rPr>
        <w:t>wider</w:t>
      </w:r>
      <w:r w:rsidR="007E5A80">
        <w:rPr>
          <w:lang w:val="en-US"/>
        </w:rPr>
        <w:t xml:space="preserve"> </w:t>
      </w:r>
      <w:r w:rsidR="007E5A80" w:rsidRPr="007E5A80">
        <w:rPr>
          <w:lang w:val="en-US"/>
        </w:rPr>
        <w:t>than</w:t>
      </w:r>
      <w:r w:rsidR="007E5A80">
        <w:rPr>
          <w:lang w:val="en-US"/>
        </w:rPr>
        <w:t xml:space="preserve"> or equal to</w:t>
      </w:r>
      <w:r w:rsidR="007E5A80" w:rsidRPr="007E5A80">
        <w:rPr>
          <w:lang w:val="en-US"/>
        </w:rPr>
        <w:t xml:space="preserve"> UE </w:t>
      </w:r>
      <w:r w:rsidR="009C77A4">
        <w:rPr>
          <w:lang w:val="en-US"/>
        </w:rPr>
        <w:t>CBW</w:t>
      </w:r>
      <w:r w:rsidR="007E5A80" w:rsidRPr="007E5A80">
        <w:rPr>
          <w:lang w:val="en-US"/>
        </w:rPr>
        <w:t>,</w:t>
      </w:r>
      <w:r w:rsidR="007E5A80">
        <w:rPr>
          <w:lang w:val="en-US"/>
        </w:rPr>
        <w:t xml:space="preserve"> </w:t>
      </w:r>
      <w:r w:rsidR="00AF50C4">
        <w:rPr>
          <w:lang w:val="en-US"/>
        </w:rPr>
        <w:t xml:space="preserve">the </w:t>
      </w:r>
      <w:r w:rsidR="00482AA1">
        <w:rPr>
          <w:lang w:val="en-US"/>
        </w:rPr>
        <w:t>ACLR and SEM</w:t>
      </w:r>
      <w:r w:rsidR="00AF50C4">
        <w:rPr>
          <w:lang w:val="en-US"/>
        </w:rPr>
        <w:t xml:space="preserve"> re</w:t>
      </w:r>
      <w:r w:rsidR="00AF50C4" w:rsidRPr="00AF50C4">
        <w:rPr>
          <w:lang w:val="en-US"/>
        </w:rPr>
        <w:t xml:space="preserve">quirement </w:t>
      </w:r>
      <w:r w:rsidR="00AF50C4">
        <w:rPr>
          <w:lang w:val="en-US"/>
        </w:rPr>
        <w:t xml:space="preserve">can be </w:t>
      </w:r>
      <w:r w:rsidR="00482AA1">
        <w:rPr>
          <w:lang w:val="en-US"/>
        </w:rPr>
        <w:t xml:space="preserve">relaxed </w:t>
      </w:r>
      <w:r w:rsidR="00AF50C4" w:rsidRPr="00AF50C4">
        <w:rPr>
          <w:lang w:val="en-US"/>
        </w:rPr>
        <w:t>potential</w:t>
      </w:r>
      <w:r w:rsidR="00AF50C4">
        <w:rPr>
          <w:lang w:val="en-US"/>
        </w:rPr>
        <w:t xml:space="preserve">ly </w:t>
      </w:r>
      <w:r w:rsidR="00482AA1">
        <w:rPr>
          <w:lang w:val="en-US"/>
        </w:rPr>
        <w:t xml:space="preserve">because </w:t>
      </w:r>
      <w:r w:rsidR="00AF50C4">
        <w:rPr>
          <w:lang w:val="en-US"/>
        </w:rPr>
        <w:t xml:space="preserve">the interference between </w:t>
      </w:r>
      <w:r w:rsidR="00AF50C4" w:rsidRPr="00AF50C4">
        <w:rPr>
          <w:lang w:val="en-US"/>
        </w:rPr>
        <w:t xml:space="preserve">adjacent channels of </w:t>
      </w:r>
      <w:r w:rsidR="00AF50C4">
        <w:rPr>
          <w:lang w:val="en-US"/>
        </w:rPr>
        <w:t xml:space="preserve">different operators </w:t>
      </w:r>
      <w:r w:rsidR="00482AA1">
        <w:rPr>
          <w:lang w:val="en-US"/>
        </w:rPr>
        <w:t>is small</w:t>
      </w:r>
      <w:r w:rsidR="004E1823">
        <w:rPr>
          <w:lang w:val="en-US"/>
        </w:rPr>
        <w:t xml:space="preserve"> and ACLR region is still within the BS </w:t>
      </w:r>
      <w:r w:rsidR="009C77A4">
        <w:rPr>
          <w:lang w:val="en-US"/>
        </w:rPr>
        <w:t>CBW</w:t>
      </w:r>
      <w:r w:rsidR="004E1823">
        <w:rPr>
          <w:lang w:val="en-US"/>
        </w:rPr>
        <w:t>.</w:t>
      </w:r>
      <w:r w:rsidR="007E5A80">
        <w:rPr>
          <w:lang w:val="en-US"/>
        </w:rPr>
        <w:t xml:space="preserve"> </w:t>
      </w:r>
      <w:r w:rsidR="004E1823">
        <w:rPr>
          <w:lang w:val="en-US"/>
        </w:rPr>
        <w:t>But when the</w:t>
      </w:r>
      <w:r w:rsidR="004E1823" w:rsidRPr="007E5A80">
        <w:rPr>
          <w:lang w:val="en-US"/>
        </w:rPr>
        <w:t xml:space="preserve"> frequency </w:t>
      </w:r>
      <w:r w:rsidR="004E1823">
        <w:rPr>
          <w:lang w:val="en-US"/>
        </w:rPr>
        <w:t>offset</w:t>
      </w:r>
      <w:r w:rsidR="004E1823" w:rsidRPr="007E5A80">
        <w:rPr>
          <w:lang w:val="en-US"/>
        </w:rPr>
        <w:t xml:space="preserve"> between </w:t>
      </w:r>
      <w:r w:rsidR="004E1823">
        <w:rPr>
          <w:lang w:val="en-US"/>
        </w:rPr>
        <w:t>the</w:t>
      </w:r>
      <w:r w:rsidR="004E1823" w:rsidRPr="007E5A80">
        <w:rPr>
          <w:lang w:val="en-US"/>
        </w:rPr>
        <w:t xml:space="preserve"> edge of</w:t>
      </w:r>
      <w:r w:rsidR="004E1823">
        <w:rPr>
          <w:lang w:val="en-US"/>
        </w:rPr>
        <w:t xml:space="preserve"> </w:t>
      </w:r>
      <w:r w:rsidR="004E1823" w:rsidRPr="007E5A80">
        <w:rPr>
          <w:lang w:val="en-US"/>
        </w:rPr>
        <w:t xml:space="preserve">UE </w:t>
      </w:r>
      <w:r w:rsidR="009C77A4">
        <w:rPr>
          <w:lang w:val="en-US"/>
        </w:rPr>
        <w:t>CBW</w:t>
      </w:r>
      <w:r w:rsidR="004E1823">
        <w:rPr>
          <w:lang w:val="en-US"/>
        </w:rPr>
        <w:t xml:space="preserve"> and the edge of BS </w:t>
      </w:r>
      <w:r w:rsidR="009C77A4">
        <w:rPr>
          <w:lang w:val="en-US"/>
        </w:rPr>
        <w:t>CBW</w:t>
      </w:r>
      <w:r w:rsidR="004E1823" w:rsidRPr="007E5A80">
        <w:rPr>
          <w:lang w:val="en-US"/>
        </w:rPr>
        <w:t xml:space="preserve"> is </w:t>
      </w:r>
      <w:r w:rsidR="004E1823">
        <w:rPr>
          <w:lang w:val="en-US"/>
        </w:rPr>
        <w:t>narrower than</w:t>
      </w:r>
      <w:r w:rsidR="004E1823" w:rsidRPr="007E5A80">
        <w:rPr>
          <w:lang w:val="en-US"/>
        </w:rPr>
        <w:t xml:space="preserve"> UE </w:t>
      </w:r>
      <w:r w:rsidR="009C77A4">
        <w:rPr>
          <w:lang w:val="en-US"/>
        </w:rPr>
        <w:t>CBW</w:t>
      </w:r>
      <w:r w:rsidR="004E1823" w:rsidRPr="007E5A80">
        <w:rPr>
          <w:lang w:val="en-US"/>
        </w:rPr>
        <w:t>,</w:t>
      </w:r>
      <w:r w:rsidR="004E1823">
        <w:rPr>
          <w:lang w:val="en-US"/>
        </w:rPr>
        <w:t xml:space="preserve"> </w:t>
      </w:r>
      <w:bookmarkStart w:id="7" w:name="_Hlk163434752"/>
      <w:r w:rsidR="004E1823" w:rsidRPr="004E1823">
        <w:rPr>
          <w:lang w:val="en-US"/>
        </w:rPr>
        <w:t xml:space="preserve">the feasibility </w:t>
      </w:r>
      <w:r w:rsidR="002204DF" w:rsidRPr="004E1823">
        <w:rPr>
          <w:lang w:val="en-US"/>
        </w:rPr>
        <w:t>needs</w:t>
      </w:r>
      <w:r w:rsidR="004E1823" w:rsidRPr="004E1823">
        <w:rPr>
          <w:lang w:val="en-US"/>
        </w:rPr>
        <w:t xml:space="preserve"> to be</w:t>
      </w:r>
      <w:r w:rsidR="00B452CB">
        <w:rPr>
          <w:lang w:val="en-US"/>
        </w:rPr>
        <w:t xml:space="preserve"> </w:t>
      </w:r>
      <w:r w:rsidR="00B452CB">
        <w:rPr>
          <w:rFonts w:hint="eastAsia"/>
          <w:lang w:val="en-US"/>
        </w:rPr>
        <w:t>further</w:t>
      </w:r>
      <w:r w:rsidR="004E1823" w:rsidRPr="004E1823">
        <w:rPr>
          <w:lang w:val="en-US"/>
        </w:rPr>
        <w:t xml:space="preserve"> evaluated</w:t>
      </w:r>
      <w:r w:rsidR="004E1823">
        <w:rPr>
          <w:lang w:val="en-US"/>
        </w:rPr>
        <w:t>.</w:t>
      </w:r>
      <w:bookmarkEnd w:id="7"/>
    </w:p>
    <w:p w14:paraId="4E17152D" w14:textId="66944A32" w:rsidR="00D44446" w:rsidRPr="004E1823" w:rsidRDefault="00D44446">
      <w:pPr>
        <w:snapToGrid w:val="0"/>
        <w:spacing w:after="0"/>
        <w:jc w:val="both"/>
        <w:rPr>
          <w:lang w:val="en-US"/>
        </w:rPr>
      </w:pPr>
    </w:p>
    <w:p w14:paraId="61ED1971" w14:textId="6E8F3E9D" w:rsidR="004E1823" w:rsidRPr="000925C2" w:rsidRDefault="00AF50C4" w:rsidP="000925C2">
      <w:pPr>
        <w:snapToGrid w:val="0"/>
        <w:spacing w:after="0"/>
        <w:jc w:val="both"/>
        <w:rPr>
          <w:b/>
          <w:i/>
        </w:rPr>
      </w:pPr>
      <w:r w:rsidRPr="000925C2">
        <w:rPr>
          <w:b/>
          <w:i/>
        </w:rPr>
        <w:t xml:space="preserve">Proposal </w:t>
      </w:r>
      <w:r w:rsidR="004E1823" w:rsidRPr="000925C2">
        <w:rPr>
          <w:b/>
          <w:i/>
        </w:rPr>
        <w:t>3</w:t>
      </w:r>
      <w:r w:rsidRPr="000925C2">
        <w:rPr>
          <w:b/>
          <w:i/>
        </w:rPr>
        <w:t xml:space="preserve">: For the scenario: UE </w:t>
      </w:r>
      <w:r w:rsidR="009C77A4" w:rsidRPr="000925C2">
        <w:rPr>
          <w:b/>
          <w:i/>
        </w:rPr>
        <w:t>CBW</w:t>
      </w:r>
      <w:r w:rsidRPr="000925C2">
        <w:rPr>
          <w:b/>
          <w:i/>
        </w:rPr>
        <w:t xml:space="preserve">&lt;BS </w:t>
      </w:r>
      <w:r w:rsidR="009C77A4" w:rsidRPr="000925C2">
        <w:rPr>
          <w:b/>
          <w:i/>
        </w:rPr>
        <w:t>CBW</w:t>
      </w:r>
      <w:r w:rsidRPr="000925C2">
        <w:rPr>
          <w:b/>
          <w:i/>
        </w:rPr>
        <w:t xml:space="preserve"> and the frequency offset between the edge of UE </w:t>
      </w:r>
      <w:r w:rsidR="009C77A4" w:rsidRPr="000925C2">
        <w:rPr>
          <w:b/>
          <w:i/>
        </w:rPr>
        <w:t>CBW</w:t>
      </w:r>
      <w:r w:rsidRPr="000925C2">
        <w:rPr>
          <w:b/>
          <w:i/>
        </w:rPr>
        <w:t xml:space="preserve"> and the edge of BS </w:t>
      </w:r>
      <w:r w:rsidR="009C77A4" w:rsidRPr="000925C2">
        <w:rPr>
          <w:b/>
          <w:i/>
        </w:rPr>
        <w:t>CBW</w:t>
      </w:r>
      <w:r w:rsidRPr="000925C2">
        <w:rPr>
          <w:b/>
          <w:i/>
        </w:rPr>
        <w:t xml:space="preserve"> is </w:t>
      </w:r>
      <w:r w:rsidR="00874A32" w:rsidRPr="000925C2">
        <w:rPr>
          <w:b/>
          <w:i/>
        </w:rPr>
        <w:t>wider</w:t>
      </w:r>
      <w:r w:rsidRPr="000925C2">
        <w:rPr>
          <w:b/>
          <w:i/>
        </w:rPr>
        <w:t xml:space="preserve"> than or equal to UE </w:t>
      </w:r>
      <w:r w:rsidR="009C77A4" w:rsidRPr="000925C2">
        <w:rPr>
          <w:b/>
          <w:i/>
        </w:rPr>
        <w:t>CBW</w:t>
      </w:r>
      <w:r w:rsidRPr="000925C2">
        <w:rPr>
          <w:b/>
          <w:i/>
        </w:rPr>
        <w:t xml:space="preserve">, </w:t>
      </w:r>
      <w:r w:rsidR="004E1823" w:rsidRPr="000925C2">
        <w:rPr>
          <w:b/>
          <w:i/>
        </w:rPr>
        <w:t xml:space="preserve">UE in a channel with adjacent channels of different operators can be allowed not to meet the existing ACLR requirement, and further consider </w:t>
      </w:r>
    </w:p>
    <w:p w14:paraId="5FF5DD4A" w14:textId="418E43E6" w:rsidR="004E1823" w:rsidRPr="000925C2" w:rsidRDefault="004E1823" w:rsidP="000925C2">
      <w:pPr>
        <w:pStyle w:val="aff6"/>
        <w:numPr>
          <w:ilvl w:val="0"/>
          <w:numId w:val="34"/>
        </w:numPr>
        <w:snapToGrid w:val="0"/>
        <w:ind w:firstLineChars="0"/>
        <w:rPr>
          <w:rFonts w:ascii="Times New Roman" w:hAnsi="Times New Roman"/>
          <w:b/>
          <w:i/>
          <w:kern w:val="0"/>
          <w:sz w:val="20"/>
          <w:szCs w:val="20"/>
          <w:lang w:val="en-GB" w:eastAsia="zh-CN"/>
        </w:rPr>
      </w:pPr>
      <w:r w:rsidRPr="000925C2">
        <w:rPr>
          <w:rFonts w:ascii="Times New Roman" w:hAnsi="Times New Roman"/>
          <w:b/>
          <w:i/>
          <w:kern w:val="0"/>
          <w:sz w:val="20"/>
          <w:szCs w:val="20"/>
          <w:lang w:val="en-GB" w:eastAsia="zh-CN"/>
        </w:rPr>
        <w:t>whether SEM can be relaxed</w:t>
      </w:r>
    </w:p>
    <w:p w14:paraId="3BD6A195" w14:textId="0861ECDF" w:rsidR="00AF50C4" w:rsidRPr="000925C2" w:rsidRDefault="00B452CB" w:rsidP="000925C2">
      <w:pPr>
        <w:pStyle w:val="aff6"/>
        <w:numPr>
          <w:ilvl w:val="0"/>
          <w:numId w:val="34"/>
        </w:numPr>
        <w:snapToGrid w:val="0"/>
        <w:ind w:firstLineChars="0"/>
        <w:rPr>
          <w:rFonts w:ascii="Times New Roman" w:hAnsi="Times New Roman"/>
          <w:b/>
          <w:i/>
          <w:kern w:val="0"/>
          <w:sz w:val="20"/>
          <w:szCs w:val="20"/>
          <w:lang w:val="en-GB" w:eastAsia="zh-CN"/>
        </w:rPr>
      </w:pPr>
      <w:r w:rsidRPr="000925C2">
        <w:rPr>
          <w:rFonts w:ascii="Times New Roman" w:hAnsi="Times New Roman" w:hint="eastAsia"/>
          <w:b/>
          <w:i/>
          <w:kern w:val="0"/>
          <w:sz w:val="20"/>
          <w:szCs w:val="20"/>
          <w:lang w:val="en-GB" w:eastAsia="zh-CN"/>
        </w:rPr>
        <w:t>R</w:t>
      </w:r>
      <w:r w:rsidR="004E1823" w:rsidRPr="000925C2">
        <w:rPr>
          <w:rFonts w:ascii="Times New Roman" w:hAnsi="Times New Roman"/>
          <w:b/>
          <w:i/>
          <w:kern w:val="0"/>
          <w:sz w:val="20"/>
          <w:szCs w:val="20"/>
          <w:lang w:val="en-GB" w:eastAsia="zh-CN"/>
        </w:rPr>
        <w:t>SD for FDD band</w:t>
      </w:r>
    </w:p>
    <w:p w14:paraId="61EF3AC0" w14:textId="31ADC8BE" w:rsidR="00D44446" w:rsidRDefault="00D44446">
      <w:pPr>
        <w:snapToGrid w:val="0"/>
        <w:spacing w:after="0"/>
        <w:jc w:val="both"/>
        <w:rPr>
          <w:lang w:val="en-US"/>
        </w:rPr>
      </w:pPr>
    </w:p>
    <w:p w14:paraId="29343D3A" w14:textId="1A6733CB" w:rsidR="002E1472" w:rsidRPr="000925C2" w:rsidRDefault="004E1823" w:rsidP="000925C2">
      <w:pPr>
        <w:snapToGrid w:val="0"/>
        <w:spacing w:after="0"/>
        <w:jc w:val="both"/>
        <w:rPr>
          <w:b/>
          <w:i/>
        </w:rPr>
      </w:pPr>
      <w:r w:rsidRPr="000925C2">
        <w:rPr>
          <w:b/>
          <w:i/>
          <w:szCs w:val="24"/>
        </w:rPr>
        <w:t xml:space="preserve">Proposal </w:t>
      </w:r>
      <w:r w:rsidR="002E1472" w:rsidRPr="000925C2">
        <w:rPr>
          <w:b/>
          <w:i/>
          <w:szCs w:val="24"/>
        </w:rPr>
        <w:t>4</w:t>
      </w:r>
      <w:r w:rsidRPr="000925C2">
        <w:rPr>
          <w:b/>
          <w:i/>
        </w:rPr>
        <w:t xml:space="preserve">: For the scenario: UE </w:t>
      </w:r>
      <w:r w:rsidR="009C77A4" w:rsidRPr="000925C2">
        <w:rPr>
          <w:b/>
          <w:i/>
        </w:rPr>
        <w:t>CBW</w:t>
      </w:r>
      <w:r w:rsidRPr="000925C2">
        <w:rPr>
          <w:b/>
          <w:i/>
        </w:rPr>
        <w:t xml:space="preserve">&lt;BS </w:t>
      </w:r>
      <w:r w:rsidR="009C77A4" w:rsidRPr="000925C2">
        <w:rPr>
          <w:b/>
          <w:i/>
        </w:rPr>
        <w:t>CBW</w:t>
      </w:r>
      <w:r w:rsidRPr="000925C2">
        <w:rPr>
          <w:b/>
          <w:i/>
        </w:rPr>
        <w:t xml:space="preserve"> and the frequency offset between the edge of UE </w:t>
      </w:r>
      <w:r w:rsidR="009C77A4" w:rsidRPr="000925C2">
        <w:rPr>
          <w:b/>
          <w:i/>
        </w:rPr>
        <w:t>CBW</w:t>
      </w:r>
      <w:r w:rsidRPr="000925C2">
        <w:rPr>
          <w:b/>
          <w:i/>
        </w:rPr>
        <w:t xml:space="preserve"> and the edge of BS </w:t>
      </w:r>
      <w:r w:rsidR="009C77A4" w:rsidRPr="000925C2">
        <w:rPr>
          <w:b/>
          <w:i/>
        </w:rPr>
        <w:t>CBW</w:t>
      </w:r>
      <w:r w:rsidRPr="000925C2">
        <w:rPr>
          <w:b/>
          <w:i/>
        </w:rPr>
        <w:t xml:space="preserve"> is narrower than UE </w:t>
      </w:r>
      <w:r w:rsidR="009C77A4" w:rsidRPr="000925C2">
        <w:rPr>
          <w:b/>
          <w:i/>
        </w:rPr>
        <w:t>CBW</w:t>
      </w:r>
      <w:r w:rsidRPr="000925C2">
        <w:rPr>
          <w:b/>
          <w:i/>
        </w:rPr>
        <w:t xml:space="preserve">, UE in a channel with adjacent channels of different operators </w:t>
      </w:r>
      <w:r w:rsidR="002E1472" w:rsidRPr="000925C2">
        <w:rPr>
          <w:b/>
          <w:i/>
        </w:rPr>
        <w:t>may be allowed to meet relaxed ACLR requirement</w:t>
      </w:r>
      <w:r w:rsidRPr="000925C2">
        <w:rPr>
          <w:b/>
          <w:i/>
        </w:rPr>
        <w:t xml:space="preserve">, </w:t>
      </w:r>
      <w:r w:rsidR="002E1472" w:rsidRPr="000925C2">
        <w:rPr>
          <w:b/>
          <w:i/>
        </w:rPr>
        <w:t xml:space="preserve">which the feasibility need to be </w:t>
      </w:r>
      <w:r w:rsidR="00B452CB" w:rsidRPr="000925C2">
        <w:rPr>
          <w:rFonts w:hint="eastAsia"/>
          <w:b/>
          <w:i/>
        </w:rPr>
        <w:t>further</w:t>
      </w:r>
      <w:r w:rsidR="00B452CB" w:rsidRPr="000925C2">
        <w:rPr>
          <w:b/>
          <w:i/>
        </w:rPr>
        <w:t xml:space="preserve"> </w:t>
      </w:r>
      <w:r w:rsidR="002E1472" w:rsidRPr="000925C2">
        <w:rPr>
          <w:b/>
          <w:i/>
        </w:rPr>
        <w:t>evaluated.</w:t>
      </w:r>
    </w:p>
    <w:p w14:paraId="129462EE" w14:textId="706B3761" w:rsidR="002E1472" w:rsidRPr="000925C2" w:rsidRDefault="002E1472" w:rsidP="000925C2">
      <w:pPr>
        <w:numPr>
          <w:ilvl w:val="0"/>
          <w:numId w:val="28"/>
        </w:numPr>
        <w:snapToGrid w:val="0"/>
        <w:spacing w:after="0"/>
        <w:jc w:val="both"/>
        <w:rPr>
          <w:b/>
          <w:i/>
        </w:rPr>
      </w:pPr>
      <w:r w:rsidRPr="000925C2">
        <w:rPr>
          <w:b/>
          <w:i/>
        </w:rPr>
        <w:t>Two deployments including the same site or different sites</w:t>
      </w:r>
    </w:p>
    <w:p w14:paraId="61A4117C" w14:textId="77777777" w:rsidR="002E1472" w:rsidRPr="00D642C5" w:rsidRDefault="002E1472" w:rsidP="000925C2">
      <w:pPr>
        <w:numPr>
          <w:ilvl w:val="0"/>
          <w:numId w:val="28"/>
        </w:numPr>
        <w:snapToGrid w:val="0"/>
        <w:spacing w:after="0"/>
        <w:jc w:val="both"/>
        <w:rPr>
          <w:b/>
        </w:rPr>
      </w:pPr>
      <w:r w:rsidRPr="000925C2">
        <w:rPr>
          <w:b/>
          <w:i/>
        </w:rPr>
        <w:t>Whether SEM can be relaxed</w:t>
      </w:r>
    </w:p>
    <w:p w14:paraId="72FAF790" w14:textId="61DAFD4C" w:rsidR="00D44446" w:rsidRDefault="00D44446" w:rsidP="002E1472">
      <w:pPr>
        <w:snapToGrid w:val="0"/>
        <w:spacing w:after="0"/>
        <w:rPr>
          <w:lang w:val="en-US"/>
        </w:rPr>
      </w:pPr>
    </w:p>
    <w:p w14:paraId="7D851CDB" w14:textId="22F74CD1" w:rsidR="00846FB0" w:rsidRDefault="00482AA1" w:rsidP="002E1472">
      <w:pPr>
        <w:snapToGrid w:val="0"/>
        <w:spacing w:after="0"/>
        <w:jc w:val="both"/>
      </w:pPr>
      <w:r w:rsidRPr="00DF7878">
        <w:rPr>
          <w:lang w:val="en-US"/>
        </w:rPr>
        <w:t xml:space="preserve">In addition to relaxing the value of the </w:t>
      </w:r>
      <w:r w:rsidR="002E1472">
        <w:rPr>
          <w:lang w:val="en-US"/>
        </w:rPr>
        <w:t>ACLR and/or SEM</w:t>
      </w:r>
      <w:r w:rsidRPr="00DF7878">
        <w:rPr>
          <w:lang w:val="en-US"/>
        </w:rPr>
        <w:t xml:space="preserve"> </w:t>
      </w:r>
      <w:r>
        <w:rPr>
          <w:lang w:val="en-US"/>
        </w:rPr>
        <w:t>requirement</w:t>
      </w:r>
      <w:r w:rsidRPr="00DF7878">
        <w:rPr>
          <w:lang w:val="en-US"/>
        </w:rPr>
        <w:t>,</w:t>
      </w:r>
      <w:r>
        <w:rPr>
          <w:lang w:val="en-US"/>
        </w:rPr>
        <w:t xml:space="preserve"> the other </w:t>
      </w:r>
      <w:r w:rsidRPr="00DF7878">
        <w:rPr>
          <w:lang w:val="en-US"/>
        </w:rPr>
        <w:t>way</w:t>
      </w:r>
      <w:r w:rsidR="00846FB0">
        <w:rPr>
          <w:lang w:val="en-US"/>
        </w:rPr>
        <w:t xml:space="preserve"> </w:t>
      </w:r>
      <w:r w:rsidRPr="00DF7878">
        <w:rPr>
          <w:lang w:val="en-US"/>
        </w:rPr>
        <w:t>to relax</w:t>
      </w:r>
      <w:r>
        <w:rPr>
          <w:lang w:val="en-US"/>
        </w:rPr>
        <w:t>ation</w:t>
      </w:r>
      <w:r w:rsidRPr="00DF7878">
        <w:rPr>
          <w:lang w:val="en-US"/>
        </w:rPr>
        <w:t xml:space="preserve"> is </w:t>
      </w:r>
      <w:r w:rsidRPr="00783BCB">
        <w:rPr>
          <w:lang w:val="en-US"/>
        </w:rPr>
        <w:t xml:space="preserve">the reference bandwidth is </w:t>
      </w:r>
      <w:r>
        <w:rPr>
          <w:lang w:val="en-US"/>
        </w:rPr>
        <w:t xml:space="preserve">BS </w:t>
      </w:r>
      <w:r w:rsidR="009C77A4">
        <w:rPr>
          <w:lang w:val="en-US"/>
        </w:rPr>
        <w:t>CBW</w:t>
      </w:r>
      <w:r w:rsidRPr="00783BCB">
        <w:rPr>
          <w:lang w:val="en-US"/>
        </w:rPr>
        <w:t xml:space="preserve"> instead of </w:t>
      </w:r>
      <w:r>
        <w:rPr>
          <w:lang w:val="en-US"/>
        </w:rPr>
        <w:t xml:space="preserve">UE </w:t>
      </w:r>
      <w:r w:rsidR="009C77A4">
        <w:rPr>
          <w:lang w:val="en-US"/>
        </w:rPr>
        <w:t>CBW</w:t>
      </w:r>
      <w:r w:rsidR="00846FB0">
        <w:rPr>
          <w:lang w:val="en-US"/>
        </w:rPr>
        <w:t xml:space="preserve"> f</w:t>
      </w:r>
      <w:r w:rsidR="00846FB0" w:rsidRPr="00DF7878">
        <w:rPr>
          <w:lang w:val="en-US"/>
        </w:rPr>
        <w:t xml:space="preserve">or the scenario </w:t>
      </w:r>
      <w:r w:rsidR="00846FB0">
        <w:rPr>
          <w:lang w:val="en-US"/>
        </w:rPr>
        <w:t>2</w:t>
      </w:r>
      <w:r w:rsidR="00846FB0" w:rsidRPr="00DF7878">
        <w:rPr>
          <w:lang w:val="en-US"/>
        </w:rPr>
        <w:t>-</w:t>
      </w:r>
      <w:r w:rsidR="00846FB0">
        <w:rPr>
          <w:lang w:val="en-US"/>
        </w:rPr>
        <w:t>2</w:t>
      </w:r>
      <w:r>
        <w:rPr>
          <w:lang w:val="en-US"/>
        </w:rPr>
        <w:t>.</w:t>
      </w:r>
      <w:r w:rsidR="002E1472" w:rsidRPr="002E1472">
        <w:t xml:space="preserve"> </w:t>
      </w:r>
      <w:r w:rsidR="002204DF" w:rsidRPr="002204DF">
        <w:t>Similar to the above,</w:t>
      </w:r>
      <w:r w:rsidR="002204DF">
        <w:t xml:space="preserve"> </w:t>
      </w:r>
      <w:r w:rsidR="002204DF" w:rsidRPr="002204DF">
        <w:t xml:space="preserve">the feasibility </w:t>
      </w:r>
      <w:r w:rsidR="002204DF">
        <w:t xml:space="preserve">still </w:t>
      </w:r>
      <w:r w:rsidR="002204DF" w:rsidRPr="002204DF">
        <w:t>needs to be evaluated by using the co-existence simulator.</w:t>
      </w:r>
    </w:p>
    <w:p w14:paraId="799FA6C3" w14:textId="77777777" w:rsidR="002204DF" w:rsidRDefault="002204DF" w:rsidP="002204DF">
      <w:pPr>
        <w:snapToGrid w:val="0"/>
        <w:spacing w:after="0"/>
        <w:rPr>
          <w:b/>
          <w:szCs w:val="24"/>
        </w:rPr>
      </w:pPr>
    </w:p>
    <w:p w14:paraId="55E331E4" w14:textId="6CCED787" w:rsidR="002204DF" w:rsidRPr="00C44AB9" w:rsidRDefault="002204DF" w:rsidP="00C44AB9">
      <w:pPr>
        <w:snapToGrid w:val="0"/>
        <w:spacing w:after="0"/>
        <w:jc w:val="both"/>
        <w:rPr>
          <w:b/>
          <w:i/>
        </w:rPr>
      </w:pPr>
      <w:r w:rsidRPr="00C44AB9">
        <w:rPr>
          <w:b/>
          <w:i/>
          <w:szCs w:val="24"/>
        </w:rPr>
        <w:t>Proposal 5</w:t>
      </w:r>
      <w:r w:rsidRPr="00C44AB9">
        <w:rPr>
          <w:b/>
          <w:i/>
        </w:rPr>
        <w:t xml:space="preserve">: For the scenario: UE </w:t>
      </w:r>
      <w:r w:rsidR="009C77A4" w:rsidRPr="00C44AB9">
        <w:rPr>
          <w:b/>
          <w:i/>
        </w:rPr>
        <w:t>CBW</w:t>
      </w:r>
      <w:r w:rsidRPr="00C44AB9">
        <w:rPr>
          <w:b/>
          <w:i/>
        </w:rPr>
        <w:t xml:space="preserve">&lt;BS </w:t>
      </w:r>
      <w:r w:rsidR="009C77A4" w:rsidRPr="00C44AB9">
        <w:rPr>
          <w:b/>
          <w:i/>
        </w:rPr>
        <w:t>CBW</w:t>
      </w:r>
      <w:r w:rsidRPr="00C44AB9">
        <w:rPr>
          <w:b/>
          <w:i/>
        </w:rPr>
        <w:t>, UE in a channel with adjacent channels of different operators may be allowed to meet relaxed ACLR requirement, which the feasibility need to be</w:t>
      </w:r>
      <w:r w:rsidR="00B452CB" w:rsidRPr="00C44AB9">
        <w:rPr>
          <w:b/>
          <w:i/>
        </w:rPr>
        <w:t xml:space="preserve"> </w:t>
      </w:r>
      <w:r w:rsidR="00B452CB" w:rsidRPr="00C44AB9">
        <w:rPr>
          <w:rFonts w:hint="eastAsia"/>
          <w:b/>
          <w:i/>
        </w:rPr>
        <w:t>further</w:t>
      </w:r>
      <w:r w:rsidRPr="00C44AB9">
        <w:rPr>
          <w:b/>
          <w:i/>
        </w:rPr>
        <w:t xml:space="preserve"> evaluated.</w:t>
      </w:r>
    </w:p>
    <w:p w14:paraId="32413DB0" w14:textId="77777777" w:rsidR="002204DF" w:rsidRPr="00C44AB9" w:rsidRDefault="002204DF" w:rsidP="00C44AB9">
      <w:pPr>
        <w:numPr>
          <w:ilvl w:val="0"/>
          <w:numId w:val="28"/>
        </w:numPr>
        <w:snapToGrid w:val="0"/>
        <w:spacing w:after="0"/>
        <w:jc w:val="both"/>
        <w:rPr>
          <w:b/>
          <w:i/>
        </w:rPr>
      </w:pPr>
      <w:r w:rsidRPr="00C44AB9">
        <w:rPr>
          <w:b/>
          <w:i/>
        </w:rPr>
        <w:t>Two deployments including the same site or different sites.</w:t>
      </w:r>
    </w:p>
    <w:p w14:paraId="0BE84F26" w14:textId="03D5E07E" w:rsidR="002204DF" w:rsidRPr="00D642C5" w:rsidRDefault="002204DF" w:rsidP="00C44AB9">
      <w:pPr>
        <w:numPr>
          <w:ilvl w:val="0"/>
          <w:numId w:val="28"/>
        </w:numPr>
        <w:snapToGrid w:val="0"/>
        <w:spacing w:after="0"/>
        <w:jc w:val="both"/>
        <w:rPr>
          <w:b/>
        </w:rPr>
      </w:pPr>
      <w:r w:rsidRPr="00C44AB9">
        <w:rPr>
          <w:b/>
          <w:i/>
        </w:rPr>
        <w:lastRenderedPageBreak/>
        <w:t>Whether SEM can be relaxed.</w:t>
      </w:r>
    </w:p>
    <w:p w14:paraId="008AE201" w14:textId="77777777" w:rsidR="00846FB0" w:rsidRDefault="00846FB0" w:rsidP="002E1472">
      <w:pPr>
        <w:snapToGrid w:val="0"/>
        <w:spacing w:after="0"/>
        <w:jc w:val="both"/>
      </w:pPr>
    </w:p>
    <w:p w14:paraId="4E49CB16" w14:textId="68FC6C6D" w:rsidR="002E1472" w:rsidRDefault="002204DF" w:rsidP="002E1472">
      <w:pPr>
        <w:snapToGrid w:val="0"/>
        <w:spacing w:after="0"/>
        <w:jc w:val="both"/>
      </w:pPr>
      <w:r>
        <w:t xml:space="preserve">Additionally, </w:t>
      </w:r>
      <w:r w:rsidR="00846FB0" w:rsidRPr="00846FB0">
        <w:t>ACLR/SEM/Spurious emission</w:t>
      </w:r>
      <w:r w:rsidR="002E1472">
        <w:t xml:space="preserve"> requirements based on BWP that can be narrower than UE </w:t>
      </w:r>
      <w:r w:rsidR="009C77A4">
        <w:t>CBW</w:t>
      </w:r>
      <w:r w:rsidR="002E1472">
        <w:t xml:space="preserve"> should be e</w:t>
      </w:r>
      <w:r w:rsidR="00846FB0">
        <w:t>x</w:t>
      </w:r>
      <w:r w:rsidR="002E1472">
        <w:t xml:space="preserve">cluded in the WID, because </w:t>
      </w:r>
      <w:r w:rsidR="002E1472" w:rsidRPr="002E1472">
        <w:t xml:space="preserve">it means that the </w:t>
      </w:r>
      <w:r w:rsidR="00846FB0">
        <w:t>RF requirements</w:t>
      </w:r>
      <w:r w:rsidR="002E1472" w:rsidRPr="002E1472">
        <w:t xml:space="preserve"> are somehow more stringent</w:t>
      </w:r>
      <w:r w:rsidR="00846FB0">
        <w:t>.</w:t>
      </w:r>
      <w:r>
        <w:t xml:space="preserve"> </w:t>
      </w:r>
    </w:p>
    <w:p w14:paraId="4457C41E" w14:textId="77777777" w:rsidR="00846FB0" w:rsidRDefault="00846FB0">
      <w:pPr>
        <w:snapToGrid w:val="0"/>
        <w:spacing w:after="0"/>
        <w:jc w:val="both"/>
        <w:rPr>
          <w:b/>
          <w:szCs w:val="24"/>
        </w:rPr>
      </w:pPr>
    </w:p>
    <w:p w14:paraId="0261496F" w14:textId="2B8AF9EB" w:rsidR="00316DCD" w:rsidRPr="00C44AB9" w:rsidRDefault="00846FB0">
      <w:pPr>
        <w:snapToGrid w:val="0"/>
        <w:spacing w:after="0"/>
        <w:jc w:val="both"/>
        <w:rPr>
          <w:b/>
          <w:i/>
        </w:rPr>
      </w:pPr>
      <w:r w:rsidRPr="00C44AB9">
        <w:rPr>
          <w:b/>
          <w:i/>
          <w:szCs w:val="24"/>
        </w:rPr>
        <w:t xml:space="preserve">Proposal </w:t>
      </w:r>
      <w:r w:rsidR="002204DF" w:rsidRPr="00C44AB9">
        <w:rPr>
          <w:b/>
          <w:i/>
          <w:szCs w:val="24"/>
        </w:rPr>
        <w:t>6</w:t>
      </w:r>
      <w:r w:rsidRPr="00C44AB9">
        <w:rPr>
          <w:b/>
          <w:i/>
        </w:rPr>
        <w:t>: BWP-based ACLR/SEM/Spurious emission requirements should be excluded from WID.</w:t>
      </w:r>
    </w:p>
    <w:p w14:paraId="6174181C" w14:textId="1746B6F6" w:rsidR="002204DF" w:rsidRDefault="002204DF">
      <w:pPr>
        <w:snapToGrid w:val="0"/>
        <w:spacing w:after="0"/>
        <w:jc w:val="both"/>
        <w:rPr>
          <w:b/>
        </w:rPr>
      </w:pPr>
    </w:p>
    <w:p w14:paraId="2D50FD10" w14:textId="5C7A0CC5" w:rsidR="002204DF" w:rsidRDefault="00811E6F">
      <w:pPr>
        <w:snapToGrid w:val="0"/>
        <w:spacing w:after="0"/>
        <w:jc w:val="both"/>
      </w:pPr>
      <w:r w:rsidRPr="00811E6F">
        <w:t xml:space="preserve">In addition to the example bands given </w:t>
      </w:r>
      <w:r w:rsidR="00E41C94">
        <w:rPr>
          <w:rFonts w:hint="eastAsia"/>
        </w:rPr>
        <w:t>above</w:t>
      </w:r>
      <w:r w:rsidRPr="00811E6F">
        <w:t xml:space="preserve">, </w:t>
      </w:r>
      <w:r>
        <w:rPr>
          <w:rFonts w:hint="eastAsia"/>
        </w:rPr>
        <w:t>companies</w:t>
      </w:r>
      <w:r>
        <w:t xml:space="preserve"> </w:t>
      </w:r>
      <w:r w:rsidRPr="00811E6F">
        <w:t>are encouraged to provide more example bands to identify and apply to more scenarios.</w:t>
      </w:r>
    </w:p>
    <w:p w14:paraId="54C2A7D7" w14:textId="77777777" w:rsidR="002204DF" w:rsidRPr="000925C2" w:rsidRDefault="002204DF">
      <w:pPr>
        <w:snapToGrid w:val="0"/>
        <w:spacing w:after="0"/>
        <w:jc w:val="both"/>
      </w:pPr>
    </w:p>
    <w:p w14:paraId="3AF59B65" w14:textId="174063B1" w:rsidR="008B1EB9" w:rsidRDefault="008B1EB9" w:rsidP="00C44AB9">
      <w:pPr>
        <w:pStyle w:val="2"/>
        <w:spacing w:after="240"/>
        <w:ind w:left="0"/>
      </w:pPr>
      <w:r>
        <w:t xml:space="preserve">MPR applicability study for </w:t>
      </w:r>
      <w:r w:rsidR="002F2678">
        <w:t>intra-band CA</w:t>
      </w:r>
    </w:p>
    <w:p w14:paraId="55DAEE7D" w14:textId="77777777" w:rsidR="00C44AB9" w:rsidRDefault="00C44AB9" w:rsidP="00C44AB9">
      <w:pPr>
        <w:jc w:val="both"/>
      </w:pPr>
      <w:r>
        <w:t xml:space="preserve">Applicable MPR for corresponding intra-band CA cases in the WI scope can be summarized as below. (Reproduce from TS 38.101-1/2 v18.4)   </w:t>
      </w:r>
    </w:p>
    <w:tbl>
      <w:tblPr>
        <w:tblStyle w:val="af8"/>
        <w:tblW w:w="0" w:type="auto"/>
        <w:jc w:val="center"/>
        <w:tblLook w:val="04A0" w:firstRow="1" w:lastRow="0" w:firstColumn="1" w:lastColumn="0" w:noHBand="0" w:noVBand="1"/>
      </w:tblPr>
      <w:tblGrid>
        <w:gridCol w:w="2263"/>
        <w:gridCol w:w="4157"/>
      </w:tblGrid>
      <w:tr w:rsidR="00C44AB9" w14:paraId="3EDEAE2C" w14:textId="77777777" w:rsidTr="00B1244C">
        <w:trPr>
          <w:jc w:val="center"/>
        </w:trPr>
        <w:tc>
          <w:tcPr>
            <w:tcW w:w="2263" w:type="dxa"/>
            <w:vAlign w:val="center"/>
          </w:tcPr>
          <w:p w14:paraId="4AFC2387" w14:textId="77777777" w:rsidR="00C44AB9" w:rsidRDefault="00C44AB9" w:rsidP="00B1244C">
            <w:pPr>
              <w:jc w:val="center"/>
            </w:pPr>
            <w:r>
              <w:t>FR1 intra-band contiguous UL CA</w:t>
            </w:r>
          </w:p>
        </w:tc>
        <w:tc>
          <w:tcPr>
            <w:tcW w:w="4157" w:type="dxa"/>
            <w:vAlign w:val="center"/>
          </w:tcPr>
          <w:p w14:paraId="45EBBE05" w14:textId="77777777" w:rsidR="00C44AB9" w:rsidRDefault="00C44AB9" w:rsidP="00B1244C">
            <w:r>
              <w:t>#1: Table 6.2A.2.1-1 is applied for</w:t>
            </w:r>
          </w:p>
          <w:p w14:paraId="7FE5A6B2" w14:textId="77777777" w:rsidR="00C44AB9" w:rsidRPr="00C700DF" w:rsidRDefault="00C44AB9" w:rsidP="00C44AB9">
            <w:pPr>
              <w:pStyle w:val="aff6"/>
              <w:numPr>
                <w:ilvl w:val="0"/>
                <w:numId w:val="36"/>
              </w:numPr>
              <w:ind w:firstLineChars="0"/>
              <w:jc w:val="left"/>
            </w:pPr>
            <w:r w:rsidRPr="00C700DF">
              <w:rPr>
                <w:rFonts w:ascii="Times New Roman" w:hAnsi="Times New Roman"/>
                <w:kern w:val="0"/>
                <w:sz w:val="20"/>
                <w:szCs w:val="20"/>
                <w:lang w:val="en-GB" w:eastAsia="zh-CN"/>
              </w:rPr>
              <w:t>PC3 CA bandwidth class B and C</w:t>
            </w:r>
          </w:p>
          <w:p w14:paraId="2838F58C" w14:textId="77777777" w:rsidR="00C44AB9" w:rsidRDefault="00C44AB9" w:rsidP="00B1244C">
            <w:r>
              <w:t>#2: Table 6.2A.2.1-1a is applied for</w:t>
            </w:r>
          </w:p>
          <w:p w14:paraId="2C30D181" w14:textId="77777777" w:rsidR="00C44AB9" w:rsidRPr="00B1244C" w:rsidRDefault="00C44AB9" w:rsidP="00C44AB9">
            <w:pPr>
              <w:pStyle w:val="aff6"/>
              <w:numPr>
                <w:ilvl w:val="0"/>
                <w:numId w:val="36"/>
              </w:numPr>
              <w:ind w:firstLineChars="0"/>
              <w:jc w:val="left"/>
              <w:rPr>
                <w:rFonts w:ascii="Times New Roman" w:hAnsi="Times New Roman"/>
                <w:kern w:val="0"/>
                <w:sz w:val="20"/>
                <w:szCs w:val="20"/>
                <w:lang w:val="en-GB" w:eastAsia="zh-CN"/>
              </w:rPr>
            </w:pPr>
            <w:r w:rsidRPr="00B1244C">
              <w:rPr>
                <w:rFonts w:ascii="Times New Roman" w:hAnsi="Times New Roman"/>
                <w:kern w:val="0"/>
                <w:sz w:val="20"/>
                <w:szCs w:val="20"/>
                <w:lang w:val="en-GB" w:eastAsia="zh-CN"/>
              </w:rPr>
              <w:t>PC</w:t>
            </w:r>
            <w:r>
              <w:rPr>
                <w:rFonts w:ascii="Times New Roman" w:hAnsi="Times New Roman"/>
                <w:kern w:val="0"/>
                <w:sz w:val="20"/>
                <w:szCs w:val="20"/>
                <w:lang w:val="en-GB" w:eastAsia="zh-CN"/>
              </w:rPr>
              <w:t>2</w:t>
            </w:r>
            <w:r w:rsidRPr="00B1244C">
              <w:rPr>
                <w:rFonts w:ascii="Times New Roman" w:hAnsi="Times New Roman"/>
                <w:kern w:val="0"/>
                <w:sz w:val="20"/>
                <w:szCs w:val="20"/>
                <w:lang w:val="en-GB" w:eastAsia="zh-CN"/>
              </w:rPr>
              <w:t xml:space="preserve"> CA bandwidth class B and C</w:t>
            </w:r>
            <w:r>
              <w:rPr>
                <w:rFonts w:ascii="Times New Roman" w:hAnsi="Times New Roman"/>
                <w:kern w:val="0"/>
                <w:sz w:val="20"/>
                <w:szCs w:val="20"/>
                <w:lang w:val="en-GB" w:eastAsia="zh-CN"/>
              </w:rPr>
              <w:t xml:space="preserve">, </w:t>
            </w:r>
            <w:r w:rsidRPr="00B1244C">
              <w:rPr>
                <w:rFonts w:ascii="Times New Roman" w:hAnsi="Times New Roman"/>
                <w:kern w:val="0"/>
                <w:sz w:val="20"/>
                <w:szCs w:val="20"/>
                <w:lang w:val="en-GB" w:eastAsia="zh-CN"/>
              </w:rPr>
              <w:t xml:space="preserve">absent for </w:t>
            </w:r>
            <w:r w:rsidRPr="00B1244C">
              <w:rPr>
                <w:rFonts w:ascii="Times New Roman" w:hAnsi="Times New Roman"/>
                <w:i/>
                <w:kern w:val="0"/>
                <w:sz w:val="20"/>
                <w:szCs w:val="20"/>
                <w:lang w:val="en-GB" w:eastAsia="zh-CN"/>
              </w:rPr>
              <w:t>dualPA-Architecture</w:t>
            </w:r>
          </w:p>
          <w:p w14:paraId="67E20CF0" w14:textId="77777777" w:rsidR="00C44AB9" w:rsidRPr="00B1244C" w:rsidRDefault="00C44AB9" w:rsidP="00C44AB9">
            <w:pPr>
              <w:pStyle w:val="aff6"/>
              <w:numPr>
                <w:ilvl w:val="0"/>
                <w:numId w:val="36"/>
              </w:numPr>
              <w:ind w:firstLineChars="0"/>
              <w:jc w:val="left"/>
              <w:rPr>
                <w:rFonts w:ascii="Times New Roman" w:hAnsi="Times New Roman"/>
                <w:kern w:val="0"/>
                <w:sz w:val="20"/>
                <w:szCs w:val="20"/>
                <w:lang w:val="en-GB" w:eastAsia="zh-CN"/>
              </w:rPr>
            </w:pPr>
            <w:r w:rsidRPr="00B1244C">
              <w:rPr>
                <w:rFonts w:ascii="Times New Roman" w:hAnsi="Times New Roman"/>
                <w:kern w:val="0"/>
                <w:sz w:val="20"/>
                <w:szCs w:val="20"/>
                <w:lang w:val="en-GB" w:eastAsia="zh-CN"/>
              </w:rPr>
              <w:t>PC</w:t>
            </w:r>
            <w:r>
              <w:rPr>
                <w:rFonts w:ascii="Times New Roman" w:hAnsi="Times New Roman"/>
                <w:kern w:val="0"/>
                <w:sz w:val="20"/>
                <w:szCs w:val="20"/>
                <w:lang w:val="en-GB" w:eastAsia="zh-CN"/>
              </w:rPr>
              <w:t>2</w:t>
            </w:r>
            <w:r w:rsidRPr="00B1244C">
              <w:rPr>
                <w:rFonts w:ascii="Times New Roman" w:hAnsi="Times New Roman"/>
                <w:kern w:val="0"/>
                <w:sz w:val="20"/>
                <w:szCs w:val="20"/>
                <w:lang w:val="en-GB" w:eastAsia="zh-CN"/>
              </w:rPr>
              <w:t xml:space="preserve"> CA bandwidth class C</w:t>
            </w:r>
            <w:r>
              <w:rPr>
                <w:rFonts w:ascii="Times New Roman" w:hAnsi="Times New Roman"/>
                <w:kern w:val="0"/>
                <w:sz w:val="20"/>
                <w:szCs w:val="20"/>
                <w:lang w:val="en-GB" w:eastAsia="zh-CN"/>
              </w:rPr>
              <w:t xml:space="preserve">, with </w:t>
            </w:r>
            <w:r w:rsidRPr="00B1244C">
              <w:rPr>
                <w:rFonts w:ascii="Times New Roman" w:hAnsi="Times New Roman"/>
                <w:i/>
                <w:kern w:val="0"/>
                <w:sz w:val="20"/>
                <w:szCs w:val="20"/>
                <w:lang w:val="en-GB" w:eastAsia="zh-CN"/>
              </w:rPr>
              <w:t>dualPA-Architecture</w:t>
            </w:r>
          </w:p>
          <w:p w14:paraId="6617538A" w14:textId="77777777" w:rsidR="00C44AB9" w:rsidRPr="00F231ED" w:rsidRDefault="00C44AB9" w:rsidP="00B1244C">
            <w:r w:rsidRPr="00F231ED">
              <w:t>#3: Table 6.2A.2.1-1b is applied for</w:t>
            </w:r>
          </w:p>
          <w:p w14:paraId="27ECB4BE" w14:textId="77777777" w:rsidR="00C44AB9" w:rsidRPr="00833E2F" w:rsidRDefault="00C44AB9" w:rsidP="00C44AB9">
            <w:pPr>
              <w:pStyle w:val="aff6"/>
              <w:numPr>
                <w:ilvl w:val="0"/>
                <w:numId w:val="36"/>
              </w:numPr>
              <w:ind w:firstLineChars="0"/>
              <w:jc w:val="left"/>
            </w:pPr>
            <w:r w:rsidRPr="00F231ED">
              <w:rPr>
                <w:rFonts w:ascii="Times New Roman" w:hAnsi="Times New Roman"/>
                <w:kern w:val="0"/>
                <w:sz w:val="20"/>
                <w:szCs w:val="20"/>
                <w:lang w:val="en-GB" w:eastAsia="zh-CN"/>
              </w:rPr>
              <w:t xml:space="preserve">PC2 CA bandwidth class B and C, with </w:t>
            </w:r>
            <w:r w:rsidRPr="00F231ED">
              <w:rPr>
                <w:rFonts w:ascii="Times New Roman" w:hAnsi="Times New Roman"/>
                <w:i/>
                <w:kern w:val="0"/>
                <w:sz w:val="20"/>
                <w:szCs w:val="20"/>
                <w:lang w:val="en-GB" w:eastAsia="zh-CN"/>
              </w:rPr>
              <w:t>TxD</w:t>
            </w:r>
          </w:p>
        </w:tc>
      </w:tr>
      <w:tr w:rsidR="00C44AB9" w14:paraId="10FBCD32" w14:textId="77777777" w:rsidTr="00B1244C">
        <w:trPr>
          <w:jc w:val="center"/>
        </w:trPr>
        <w:tc>
          <w:tcPr>
            <w:tcW w:w="2263" w:type="dxa"/>
            <w:vAlign w:val="center"/>
          </w:tcPr>
          <w:p w14:paraId="7FCC9CF5" w14:textId="77777777" w:rsidR="00C44AB9" w:rsidRDefault="00C44AB9" w:rsidP="00B1244C">
            <w:pPr>
              <w:jc w:val="center"/>
            </w:pPr>
            <w:r>
              <w:t>FR1 intra-band non-contiguous UL CA</w:t>
            </w:r>
          </w:p>
        </w:tc>
        <w:tc>
          <w:tcPr>
            <w:tcW w:w="4157" w:type="dxa"/>
            <w:vAlign w:val="center"/>
          </w:tcPr>
          <w:p w14:paraId="67AE4E13" w14:textId="77777777" w:rsidR="00C44AB9" w:rsidRDefault="00C44AB9" w:rsidP="00B1244C">
            <w:pPr>
              <w:rPr>
                <w:rFonts w:eastAsia="Yu Mincho"/>
                <w:lang w:val="en-US"/>
              </w:rPr>
            </w:pPr>
            <w:r>
              <w:t xml:space="preserve">In general, single band MPR is applied when </w:t>
            </w:r>
            <w:r w:rsidRPr="002E1676">
              <w:t>L</w:t>
            </w:r>
            <w:r w:rsidRPr="002E1676">
              <w:rPr>
                <w:vertAlign w:val="subscript"/>
              </w:rPr>
              <w:t xml:space="preserve">CRB1 </w:t>
            </w:r>
            <w:r>
              <w:rPr>
                <w:rFonts w:eastAsia="Yu Mincho"/>
                <w:lang w:val="en-US"/>
              </w:rPr>
              <w:t>= 0 or</w:t>
            </w:r>
            <w:r w:rsidRPr="002E1676">
              <w:rPr>
                <w:rFonts w:eastAsia="Yu Mincho"/>
                <w:lang w:val="en-US"/>
              </w:rPr>
              <w:t xml:space="preserve"> </w:t>
            </w:r>
            <w:r w:rsidRPr="002E1676">
              <w:t>L</w:t>
            </w:r>
            <w:r w:rsidRPr="002E1676">
              <w:rPr>
                <w:vertAlign w:val="subscript"/>
              </w:rPr>
              <w:t xml:space="preserve">CRB2 </w:t>
            </w:r>
            <w:r w:rsidRPr="002E1676">
              <w:rPr>
                <w:rFonts w:eastAsia="Yu Mincho"/>
                <w:lang w:val="en-US"/>
              </w:rPr>
              <w:t>= 0</w:t>
            </w:r>
            <w:r>
              <w:rPr>
                <w:rFonts w:eastAsia="Yu Mincho"/>
                <w:lang w:val="en-US"/>
              </w:rPr>
              <w:t>.</w:t>
            </w:r>
          </w:p>
          <w:p w14:paraId="24F61E79" w14:textId="77777777" w:rsidR="00C44AB9" w:rsidRDefault="00C44AB9" w:rsidP="00B1244C">
            <w:r>
              <w:rPr>
                <w:rFonts w:eastAsia="Yu Mincho"/>
                <w:lang w:val="en-US"/>
              </w:rPr>
              <w:t xml:space="preserve">Otherwise, apply different MPR table depending on whether </w:t>
            </w:r>
            <w:r w:rsidRPr="00A1115A">
              <w:t>-13dBm/MHz</w:t>
            </w:r>
            <w:r>
              <w:t xml:space="preserve"> can be met.</w:t>
            </w:r>
          </w:p>
        </w:tc>
      </w:tr>
      <w:tr w:rsidR="00C44AB9" w14:paraId="13A9DCD4" w14:textId="77777777" w:rsidTr="00B1244C">
        <w:trPr>
          <w:jc w:val="center"/>
        </w:trPr>
        <w:tc>
          <w:tcPr>
            <w:tcW w:w="2263" w:type="dxa"/>
            <w:vAlign w:val="center"/>
          </w:tcPr>
          <w:p w14:paraId="26FBA459" w14:textId="77777777" w:rsidR="00C44AB9" w:rsidRDefault="00C44AB9" w:rsidP="00B1244C">
            <w:pPr>
              <w:jc w:val="center"/>
            </w:pPr>
            <w:r>
              <w:t>FR2-1 intra-band contiguous UL CA</w:t>
            </w:r>
          </w:p>
        </w:tc>
        <w:tc>
          <w:tcPr>
            <w:tcW w:w="4157" w:type="dxa"/>
            <w:vAlign w:val="center"/>
          </w:tcPr>
          <w:p w14:paraId="1EDCB21E" w14:textId="77777777" w:rsidR="00C44AB9" w:rsidRDefault="00C44AB9" w:rsidP="00B1244C">
            <w:r>
              <w:t>For PC3 and</w:t>
            </w:r>
            <w:r w:rsidRPr="00C04A08">
              <w:t xml:space="preserve"> the aggregated channel</w:t>
            </w:r>
            <w:r w:rsidRPr="00C04A08">
              <w:rPr>
                <w:rStyle w:val="Char0"/>
              </w:rPr>
              <w:t xml:space="preserve"> </w:t>
            </w:r>
            <w:r w:rsidRPr="00C04A08">
              <w:t xml:space="preserve">bandwidth </w:t>
            </w:r>
            <w:r w:rsidRPr="00C04A08">
              <w:rPr>
                <w:rStyle w:val="Char0"/>
              </w:rPr>
              <w:t>no greater than</w:t>
            </w:r>
            <w:r w:rsidRPr="00C04A08">
              <w:t xml:space="preserve"> 800 MHz</w:t>
            </w:r>
            <w:r>
              <w:t xml:space="preserve">, </w:t>
            </w:r>
            <w:r w:rsidRPr="00C04A08">
              <w:t>MPR</w:t>
            </w:r>
            <w:r w:rsidRPr="00C04A08">
              <w:rPr>
                <w:vertAlign w:val="subscript"/>
              </w:rPr>
              <w:t>C</w:t>
            </w:r>
            <w:r>
              <w:rPr>
                <w:vertAlign w:val="subscript"/>
              </w:rPr>
              <w:t>_</w:t>
            </w:r>
            <w:r w:rsidRPr="00C04A08">
              <w:rPr>
                <w:vertAlign w:val="subscript"/>
              </w:rPr>
              <w:t>CA</w:t>
            </w:r>
            <w:r w:rsidRPr="00C04A08">
              <w:t xml:space="preserve"> is defined in Table</w:t>
            </w:r>
            <w:r>
              <w:t>s</w:t>
            </w:r>
            <w:r w:rsidRPr="00C04A08">
              <w:t xml:space="preserve"> 6.2A.2.4-</w:t>
            </w:r>
            <w:r>
              <w:t>1.</w:t>
            </w:r>
          </w:p>
        </w:tc>
      </w:tr>
      <w:tr w:rsidR="00C44AB9" w14:paraId="23936AC5" w14:textId="77777777" w:rsidTr="00B1244C">
        <w:trPr>
          <w:jc w:val="center"/>
        </w:trPr>
        <w:tc>
          <w:tcPr>
            <w:tcW w:w="2263" w:type="dxa"/>
            <w:vAlign w:val="center"/>
          </w:tcPr>
          <w:p w14:paraId="76895FC5" w14:textId="77777777" w:rsidR="00C44AB9" w:rsidRDefault="00C44AB9" w:rsidP="00B1244C">
            <w:pPr>
              <w:jc w:val="center"/>
            </w:pPr>
            <w:r>
              <w:t xml:space="preserve">FR2-1 </w:t>
            </w:r>
            <w:r w:rsidRPr="008E1DB2">
              <w:t>intra-band DL contiguous CA with single UL</w:t>
            </w:r>
          </w:p>
        </w:tc>
        <w:tc>
          <w:tcPr>
            <w:tcW w:w="4157" w:type="dxa"/>
            <w:vAlign w:val="center"/>
          </w:tcPr>
          <w:p w14:paraId="0F2BEF99" w14:textId="77777777" w:rsidR="00C44AB9" w:rsidRDefault="00C44AB9" w:rsidP="00B1244C">
            <w:r w:rsidRPr="00C04A08">
              <w:rPr>
                <w:rFonts w:eastAsia="Malgun Gothic"/>
              </w:rPr>
              <w:t>MPR for contiguous UL CA applies</w:t>
            </w:r>
            <w:r w:rsidRPr="00C04A08">
              <w:t xml:space="preserve"> and where necessary, BW</w:t>
            </w:r>
            <w:r w:rsidRPr="00C04A08">
              <w:rPr>
                <w:vertAlign w:val="subscript"/>
              </w:rPr>
              <w:t>channel</w:t>
            </w:r>
            <w:r w:rsidRPr="00C04A08">
              <w:t xml:space="preserve"> shall be used as BW</w:t>
            </w:r>
            <w:r w:rsidRPr="00C04A08">
              <w:rPr>
                <w:vertAlign w:val="subscript"/>
              </w:rPr>
              <w:t>channel_CA</w:t>
            </w:r>
            <w:r>
              <w:rPr>
                <w:vertAlign w:val="subscript"/>
              </w:rPr>
              <w:t>.</w:t>
            </w:r>
          </w:p>
        </w:tc>
      </w:tr>
    </w:tbl>
    <w:p w14:paraId="6973C528" w14:textId="77777777" w:rsidR="00C44AB9" w:rsidRDefault="00C44AB9" w:rsidP="00C44AB9">
      <w:pPr>
        <w:jc w:val="both"/>
      </w:pPr>
      <w:r>
        <w:t>As stated in the WID, following analysis from MPR applicability perspective are provided for each concerning scenario, respectively.</w:t>
      </w:r>
    </w:p>
    <w:p w14:paraId="195F7536" w14:textId="77777777" w:rsidR="00C44AB9" w:rsidRPr="00A548FC" w:rsidRDefault="00C44AB9" w:rsidP="00C44AB9">
      <w:pPr>
        <w:pStyle w:val="3"/>
        <w:numPr>
          <w:ilvl w:val="0"/>
          <w:numId w:val="0"/>
        </w:numPr>
        <w:ind w:left="510" w:hanging="510"/>
        <w:rPr>
          <w:rFonts w:ascii="Times New Roman" w:hAnsi="Times New Roman"/>
          <w:b/>
          <w:sz w:val="20"/>
          <w:u w:val="single"/>
          <w:lang w:val="en-GB"/>
        </w:rPr>
      </w:pPr>
      <w:r>
        <w:rPr>
          <w:rFonts w:ascii="Times New Roman" w:hAnsi="Times New Roman"/>
          <w:b/>
          <w:sz w:val="20"/>
          <w:u w:val="single"/>
          <w:lang w:val="en-GB"/>
        </w:rPr>
        <w:t>FR1 intra-band contiguous UL CA</w:t>
      </w:r>
    </w:p>
    <w:p w14:paraId="7E205EBF" w14:textId="77777777" w:rsidR="00C44AB9" w:rsidRDefault="00C44AB9" w:rsidP="00C44AB9">
      <w:pPr>
        <w:jc w:val="both"/>
      </w:pPr>
      <w:r>
        <w:t xml:space="preserve">For this case, it can be observed that the gap between CA MPR and single band MPR becomes obvious especially for large aggregated channel bandwidth. On the other hand, there could be a tendency from the network to deactivate SCell when UL traffic is not high, while UE could be capable of applying smaller MPR in order to prioritize UL coverage. </w:t>
      </w:r>
    </w:p>
    <w:p w14:paraId="3ADFC630" w14:textId="77777777" w:rsidR="00C44AB9" w:rsidRDefault="00C44AB9" w:rsidP="00C44AB9">
      <w:pPr>
        <w:jc w:val="both"/>
      </w:pPr>
      <w:r>
        <w:t xml:space="preserve">With that, it is crucial that following preliminary principle can be followed for the future discussion:     </w:t>
      </w:r>
    </w:p>
    <w:p w14:paraId="35C30292" w14:textId="77777777" w:rsidR="00C44AB9" w:rsidRDefault="00C44AB9" w:rsidP="00C44AB9">
      <w:pPr>
        <w:pStyle w:val="aff6"/>
        <w:numPr>
          <w:ilvl w:val="0"/>
          <w:numId w:val="23"/>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 xml:space="preserve">The terminology </w:t>
      </w:r>
      <w:r w:rsidRPr="008A6711">
        <w:rPr>
          <w:rFonts w:ascii="Times New Roman" w:hAnsi="Times New Roman"/>
          <w:kern w:val="0"/>
          <w:sz w:val="20"/>
          <w:szCs w:val="20"/>
          <w:lang w:val="en-GB" w:eastAsia="zh-CN"/>
        </w:rPr>
        <w:t>“</w:t>
      </w:r>
      <w:r>
        <w:rPr>
          <w:rFonts w:ascii="Times New Roman" w:hAnsi="Times New Roman"/>
          <w:kern w:val="0"/>
          <w:sz w:val="20"/>
          <w:szCs w:val="20"/>
          <w:lang w:val="en-GB" w:eastAsia="zh-CN"/>
        </w:rPr>
        <w:t>activation/deactivation</w:t>
      </w:r>
      <w:r w:rsidRPr="008A6711">
        <w:rPr>
          <w:rFonts w:ascii="Times New Roman" w:hAnsi="Times New Roman"/>
          <w:kern w:val="0"/>
          <w:sz w:val="20"/>
          <w:szCs w:val="20"/>
          <w:lang w:val="en-GB" w:eastAsia="zh-CN"/>
        </w:rPr>
        <w:t>”</w:t>
      </w:r>
      <w:r>
        <w:rPr>
          <w:rFonts w:ascii="Times New Roman" w:hAnsi="Times New Roman"/>
          <w:kern w:val="0"/>
          <w:sz w:val="20"/>
          <w:szCs w:val="20"/>
          <w:lang w:val="en-GB" w:eastAsia="zh-CN"/>
        </w:rPr>
        <w:t xml:space="preserve"> should not be interpreted as DCI indication</w:t>
      </w:r>
      <w:r w:rsidRPr="008A6711">
        <w:rPr>
          <w:rFonts w:ascii="Times New Roman" w:hAnsi="Times New Roman"/>
          <w:kern w:val="0"/>
          <w:sz w:val="20"/>
          <w:szCs w:val="20"/>
          <w:lang w:val="en-GB" w:eastAsia="zh-CN"/>
        </w:rPr>
        <w:t>.</w:t>
      </w:r>
      <w:r>
        <w:rPr>
          <w:rFonts w:ascii="Times New Roman" w:hAnsi="Times New Roman"/>
          <w:kern w:val="0"/>
          <w:sz w:val="20"/>
          <w:szCs w:val="20"/>
          <w:lang w:val="en-GB" w:eastAsia="zh-CN"/>
        </w:rPr>
        <w:t xml:space="preserve"> Instead, existing serving cell activation/deactivation based on MAC CE can be considered as feasible for UE to provide differentiated MPR applicability.  </w:t>
      </w:r>
    </w:p>
    <w:p w14:paraId="15465A6E" w14:textId="77777777" w:rsidR="00C44AB9" w:rsidRDefault="00C44AB9" w:rsidP="00C44AB9">
      <w:pPr>
        <w:pStyle w:val="aff6"/>
        <w:numPr>
          <w:ilvl w:val="0"/>
          <w:numId w:val="23"/>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 xml:space="preserve">Since the WID objective is to specify MPR applicability </w:t>
      </w:r>
    </w:p>
    <w:p w14:paraId="4707FB10" w14:textId="77777777" w:rsidR="00C44AB9" w:rsidRPr="00634BA2" w:rsidRDefault="00C44AB9" w:rsidP="00C44AB9">
      <w:pPr>
        <w:pStyle w:val="aff6"/>
        <w:numPr>
          <w:ilvl w:val="1"/>
          <w:numId w:val="23"/>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The power class should remain the same as the CA power class</w:t>
      </w:r>
      <w:r w:rsidRPr="00634BA2">
        <w:rPr>
          <w:rFonts w:ascii="Times New Roman" w:hAnsi="Times New Roman"/>
          <w:kern w:val="0"/>
          <w:sz w:val="20"/>
          <w:szCs w:val="20"/>
          <w:lang w:val="en-GB" w:eastAsia="zh-CN"/>
        </w:rPr>
        <w:t xml:space="preserve"> when activated cell number is changed. </w:t>
      </w:r>
    </w:p>
    <w:p w14:paraId="18376B22" w14:textId="77777777" w:rsidR="00C44AB9" w:rsidRPr="00F231ED" w:rsidRDefault="00C44AB9" w:rsidP="00C44AB9">
      <w:pPr>
        <w:pStyle w:val="aff6"/>
        <w:numPr>
          <w:ilvl w:val="2"/>
          <w:numId w:val="23"/>
        </w:numPr>
        <w:ind w:firstLineChars="0"/>
      </w:pPr>
      <w:r>
        <w:rPr>
          <w:rFonts w:ascii="Times New Roman" w:hAnsi="Times New Roman"/>
          <w:kern w:val="0"/>
          <w:sz w:val="20"/>
          <w:szCs w:val="20"/>
          <w:lang w:val="en-GB" w:eastAsia="zh-CN"/>
        </w:rPr>
        <w:t>For example, if a UE indicates PC1.5 for band n78 and PC2 for n78C, the intention is to study whether PC2 MPR for single band operation can be applied assuming MOP would still be PC2 instead of PC1.5 when only PCell is activated.</w:t>
      </w:r>
    </w:p>
    <w:p w14:paraId="2115B46C" w14:textId="2C6814DE" w:rsidR="00C44AB9" w:rsidRDefault="00C44AB9" w:rsidP="00C44AB9">
      <w:pPr>
        <w:jc w:val="both"/>
      </w:pPr>
      <w:r>
        <w:rPr>
          <w:b/>
          <w:i/>
        </w:rPr>
        <w:lastRenderedPageBreak/>
        <w:t xml:space="preserve">Proposal 7: For the MPR applicability study for </w:t>
      </w:r>
      <w:r w:rsidRPr="00D97CDF">
        <w:rPr>
          <w:b/>
          <w:i/>
        </w:rPr>
        <w:t>FR1 intra-band contiguous UL CA</w:t>
      </w:r>
      <w:r>
        <w:rPr>
          <w:b/>
          <w:i/>
        </w:rPr>
        <w:t xml:space="preserve">, the terminology </w:t>
      </w:r>
      <w:r w:rsidRPr="00B1244C">
        <w:rPr>
          <w:b/>
          <w:i/>
        </w:rPr>
        <w:t xml:space="preserve">“activation/deactivation” should be interpreted as </w:t>
      </w:r>
      <w:r>
        <w:rPr>
          <w:b/>
          <w:i/>
        </w:rPr>
        <w:t>the e</w:t>
      </w:r>
      <w:r w:rsidRPr="00E4681A">
        <w:rPr>
          <w:b/>
          <w:i/>
        </w:rPr>
        <w:t>xisting MAC CE based serving cell activation/deactivation</w:t>
      </w:r>
      <w:r>
        <w:rPr>
          <w:b/>
          <w:i/>
        </w:rPr>
        <w:t xml:space="preserve"> mechanism. </w:t>
      </w:r>
      <w:r>
        <w:t xml:space="preserve">  </w:t>
      </w:r>
    </w:p>
    <w:p w14:paraId="58B74822" w14:textId="71354515" w:rsidR="00C44AB9" w:rsidRPr="00F23827" w:rsidRDefault="00C44AB9" w:rsidP="00C44AB9">
      <w:pPr>
        <w:jc w:val="both"/>
        <w:rPr>
          <w:b/>
          <w:i/>
        </w:rPr>
      </w:pPr>
      <w:r>
        <w:rPr>
          <w:b/>
          <w:i/>
        </w:rPr>
        <w:t xml:space="preserve">Proposal 8: </w:t>
      </w:r>
      <w:r w:rsidRPr="0082146D">
        <w:rPr>
          <w:b/>
          <w:i/>
        </w:rPr>
        <w:t xml:space="preserve">Since the WID objective is to specify MPR applicability, the </w:t>
      </w:r>
      <w:r>
        <w:rPr>
          <w:b/>
          <w:i/>
        </w:rPr>
        <w:t>power class</w:t>
      </w:r>
      <w:r w:rsidRPr="0082146D">
        <w:rPr>
          <w:b/>
          <w:i/>
        </w:rPr>
        <w:t xml:space="preserve"> should remain the same as the CA </w:t>
      </w:r>
      <w:r>
        <w:rPr>
          <w:b/>
          <w:i/>
        </w:rPr>
        <w:t>power class</w:t>
      </w:r>
      <w:r w:rsidRPr="0082146D">
        <w:rPr>
          <w:b/>
          <w:i/>
        </w:rPr>
        <w:t xml:space="preserve"> when activated cell number is changed</w:t>
      </w:r>
      <w:r>
        <w:rPr>
          <w:b/>
          <w:i/>
        </w:rPr>
        <w:t>.</w:t>
      </w:r>
    </w:p>
    <w:p w14:paraId="0A572356" w14:textId="77777777" w:rsidR="00C44AB9" w:rsidRDefault="00C44AB9" w:rsidP="00C44AB9">
      <w:pPr>
        <w:pStyle w:val="aff6"/>
        <w:numPr>
          <w:ilvl w:val="0"/>
          <w:numId w:val="24"/>
        </w:numPr>
        <w:ind w:firstLineChars="0"/>
      </w:pPr>
      <w:r w:rsidRPr="00F23827">
        <w:rPr>
          <w:rFonts w:ascii="Times New Roman" w:hAnsi="Times New Roman"/>
          <w:b/>
          <w:i/>
          <w:kern w:val="0"/>
          <w:sz w:val="20"/>
          <w:szCs w:val="20"/>
          <w:lang w:val="en-GB" w:eastAsia="zh-CN"/>
        </w:rPr>
        <w:t xml:space="preserve">For example, if a UE indicates PC1.5 for band n78 and PC2 for n78C, the intention is to study whether PC2 MPR for single band operation can be applied assuming </w:t>
      </w:r>
      <w:r>
        <w:rPr>
          <w:rFonts w:ascii="Times New Roman" w:hAnsi="Times New Roman"/>
          <w:b/>
          <w:i/>
          <w:kern w:val="0"/>
          <w:sz w:val="20"/>
          <w:szCs w:val="20"/>
          <w:lang w:val="en-GB" w:eastAsia="zh-CN"/>
        </w:rPr>
        <w:t>power class</w:t>
      </w:r>
      <w:r w:rsidRPr="00F23827">
        <w:rPr>
          <w:rFonts w:ascii="Times New Roman" w:hAnsi="Times New Roman"/>
          <w:b/>
          <w:i/>
          <w:kern w:val="0"/>
          <w:sz w:val="20"/>
          <w:szCs w:val="20"/>
          <w:lang w:val="en-GB" w:eastAsia="zh-CN"/>
        </w:rPr>
        <w:t xml:space="preserve"> would still be PC2 instead of PC1.5 when only PCell is activated.</w:t>
      </w:r>
    </w:p>
    <w:p w14:paraId="4BF34BB2" w14:textId="77777777" w:rsidR="00C44AB9" w:rsidRDefault="00C44AB9" w:rsidP="00C44AB9">
      <w:pPr>
        <w:jc w:val="both"/>
      </w:pPr>
      <w:r>
        <w:t xml:space="preserve"> </w:t>
      </w:r>
    </w:p>
    <w:p w14:paraId="4FABC102" w14:textId="77777777" w:rsidR="00C44AB9" w:rsidRPr="00A548FC" w:rsidRDefault="00C44AB9" w:rsidP="00C44AB9">
      <w:pPr>
        <w:pStyle w:val="3"/>
        <w:numPr>
          <w:ilvl w:val="0"/>
          <w:numId w:val="0"/>
        </w:numPr>
        <w:ind w:left="510" w:hanging="510"/>
        <w:rPr>
          <w:rFonts w:ascii="Times New Roman" w:hAnsi="Times New Roman"/>
          <w:b/>
          <w:sz w:val="20"/>
          <w:u w:val="single"/>
          <w:lang w:val="en-GB"/>
        </w:rPr>
      </w:pPr>
      <w:r>
        <w:rPr>
          <w:rFonts w:ascii="Times New Roman" w:hAnsi="Times New Roman"/>
          <w:b/>
          <w:sz w:val="20"/>
          <w:u w:val="single"/>
          <w:lang w:val="en-GB"/>
        </w:rPr>
        <w:t>FR1 intra-band non-contiguous UL CA</w:t>
      </w:r>
    </w:p>
    <w:p w14:paraId="0B183F4C" w14:textId="77777777" w:rsidR="00C44AB9" w:rsidRDefault="00C44AB9" w:rsidP="00C44AB9">
      <w:pPr>
        <w:jc w:val="both"/>
      </w:pPr>
      <w:r>
        <w:t>As defined in TS 38.101-1 clause 6.2A.2.2, single band MPR requirements are explicitly referenced here.</w:t>
      </w:r>
    </w:p>
    <w:tbl>
      <w:tblPr>
        <w:tblStyle w:val="af8"/>
        <w:tblW w:w="0" w:type="auto"/>
        <w:tblLook w:val="04A0" w:firstRow="1" w:lastRow="0" w:firstColumn="1" w:lastColumn="0" w:noHBand="0" w:noVBand="1"/>
      </w:tblPr>
      <w:tblGrid>
        <w:gridCol w:w="9631"/>
      </w:tblGrid>
      <w:tr w:rsidR="00C44AB9" w14:paraId="7B66D9AD" w14:textId="77777777" w:rsidTr="00B1244C">
        <w:tc>
          <w:tcPr>
            <w:tcW w:w="9631" w:type="dxa"/>
          </w:tcPr>
          <w:p w14:paraId="3C410AB8" w14:textId="77777777" w:rsidR="00C44AB9" w:rsidRDefault="00C44AB9" w:rsidP="00B1244C">
            <w:pPr>
              <w:ind w:firstLine="284"/>
            </w:pPr>
            <w:r w:rsidRPr="002E1676">
              <w:rPr>
                <w:rFonts w:eastAsia="Yu Mincho"/>
                <w:lang w:val="en-US"/>
              </w:rPr>
              <w:t xml:space="preserve">For UE indicating </w:t>
            </w:r>
            <w:r w:rsidRPr="002E1676">
              <w:rPr>
                <w:i/>
              </w:rPr>
              <w:t xml:space="preserve">dualPA-Architecture </w:t>
            </w:r>
            <w:r w:rsidRPr="002E1676">
              <w:t>supported</w:t>
            </w:r>
          </w:p>
          <w:p w14:paraId="264512F5" w14:textId="77777777" w:rsidR="00C44AB9" w:rsidRPr="00293AF2" w:rsidRDefault="00C44AB9" w:rsidP="00B1244C">
            <w:pPr>
              <w:spacing w:after="0"/>
              <w:ind w:left="568"/>
              <w:rPr>
                <w:rFonts w:eastAsia="Yu Mincho"/>
                <w:highlight w:val="yellow"/>
                <w:lang w:val="en-US"/>
              </w:rPr>
            </w:pPr>
            <w:r w:rsidRPr="009F7E82">
              <w:rPr>
                <w:rFonts w:eastAsia="Yu Mincho"/>
                <w:highlight w:val="yellow"/>
                <w:lang w:val="en-US"/>
              </w:rPr>
              <w:t>If OR (</w:t>
            </w:r>
            <w:r w:rsidRPr="009F7E82">
              <w:rPr>
                <w:highlight w:val="yellow"/>
              </w:rPr>
              <w:t>L</w:t>
            </w:r>
            <w:r w:rsidRPr="009F7E82">
              <w:rPr>
                <w:highlight w:val="yellow"/>
                <w:vertAlign w:val="subscript"/>
              </w:rPr>
              <w:t xml:space="preserve">CRB1 </w:t>
            </w:r>
            <w:r w:rsidRPr="009F7E82">
              <w:rPr>
                <w:rFonts w:eastAsia="Yu Mincho"/>
                <w:highlight w:val="yellow"/>
                <w:lang w:val="en-US"/>
              </w:rPr>
              <w:t xml:space="preserve">= 0, </w:t>
            </w:r>
            <w:r w:rsidRPr="009F7E82">
              <w:rPr>
                <w:highlight w:val="yellow"/>
              </w:rPr>
              <w:t>L</w:t>
            </w:r>
            <w:r w:rsidRPr="009F7E82">
              <w:rPr>
                <w:highlight w:val="yellow"/>
                <w:vertAlign w:val="subscript"/>
              </w:rPr>
              <w:t xml:space="preserve">CRB2 </w:t>
            </w:r>
            <w:r w:rsidRPr="009F7E82">
              <w:rPr>
                <w:rFonts w:eastAsia="Yu Mincho"/>
                <w:highlight w:val="yellow"/>
                <w:lang w:val="en-US"/>
              </w:rPr>
              <w:t>= 0)</w:t>
            </w:r>
          </w:p>
          <w:p w14:paraId="42F4F9E0" w14:textId="77777777" w:rsidR="00C44AB9" w:rsidRPr="00293AF2" w:rsidRDefault="00C44AB9" w:rsidP="00B1244C">
            <w:pPr>
              <w:spacing w:after="0"/>
              <w:ind w:left="568"/>
              <w:rPr>
                <w:rFonts w:eastAsia="Yu Mincho"/>
                <w:highlight w:val="yellow"/>
                <w:lang w:val="en-US"/>
              </w:rPr>
            </w:pPr>
          </w:p>
          <w:p w14:paraId="4B22DB0B" w14:textId="77777777" w:rsidR="00C44AB9" w:rsidRPr="000363AF" w:rsidRDefault="00C44AB9" w:rsidP="00B1244C">
            <w:pPr>
              <w:spacing w:after="0"/>
              <w:ind w:left="852" w:firstLine="284"/>
              <w:rPr>
                <w:rFonts w:eastAsia="Yu Mincho"/>
                <w:lang w:val="en-US"/>
              </w:rPr>
            </w:pPr>
            <w:r w:rsidRPr="002E1676">
              <w:rPr>
                <w:rFonts w:eastAsia="Yu Mincho"/>
                <w:lang w:val="en-US"/>
              </w:rPr>
              <w:t xml:space="preserve">MPR defined in </w:t>
            </w:r>
            <w:r w:rsidRPr="009F7E82">
              <w:rPr>
                <w:rFonts w:eastAsia="Yu Mincho"/>
                <w:highlight w:val="yellow"/>
                <w:lang w:val="en-US"/>
              </w:rPr>
              <w:t>Table 6.2.2-1</w:t>
            </w:r>
            <w:r w:rsidRPr="002E1676">
              <w:rPr>
                <w:rFonts w:eastAsia="Yu Mincho"/>
                <w:lang w:val="en-US"/>
              </w:rPr>
              <w:t xml:space="preserve"> and </w:t>
            </w:r>
            <w:r w:rsidRPr="009F7E82">
              <w:rPr>
                <w:rFonts w:eastAsia="Yu Mincho"/>
                <w:highlight w:val="yellow"/>
                <w:lang w:val="en-US"/>
              </w:rPr>
              <w:t>Table 6.2.2-2</w:t>
            </w:r>
            <w:r w:rsidRPr="002E1676">
              <w:rPr>
                <w:rFonts w:eastAsia="Yu Mincho"/>
                <w:lang w:val="en-US"/>
              </w:rPr>
              <w:t xml:space="preserve"> for PC3 and PC2 UE respectively</w:t>
            </w:r>
          </w:p>
          <w:p w14:paraId="133A1894" w14:textId="77777777" w:rsidR="00C44AB9" w:rsidRPr="000363AF" w:rsidRDefault="00C44AB9" w:rsidP="00B1244C">
            <w:pPr>
              <w:spacing w:after="0"/>
              <w:ind w:left="568"/>
              <w:rPr>
                <w:rFonts w:eastAsia="Yu Mincho"/>
                <w:lang w:val="en-US"/>
              </w:rPr>
            </w:pPr>
          </w:p>
          <w:p w14:paraId="36CDA89A" w14:textId="77777777" w:rsidR="00C44AB9" w:rsidRPr="00A1115A" w:rsidRDefault="00C44AB9" w:rsidP="00B1244C">
            <w:pPr>
              <w:spacing w:after="0"/>
              <w:ind w:left="568"/>
              <w:rPr>
                <w:rFonts w:eastAsia="Yu Mincho"/>
                <w:lang w:val="en-US"/>
              </w:rPr>
            </w:pPr>
            <w:r>
              <w:rPr>
                <w:rFonts w:eastAsia="Yu Mincho"/>
                <w:lang w:val="en-US"/>
              </w:rPr>
              <w:t xml:space="preserve">Else </w:t>
            </w:r>
            <w:r w:rsidRPr="00A1115A">
              <w:rPr>
                <w:rFonts w:eastAsia="Yu Mincho"/>
                <w:lang w:val="en-US"/>
              </w:rPr>
              <w:t xml:space="preserve">If AND( </w:t>
            </w:r>
            <w:r w:rsidRPr="00A1115A">
              <w:rPr>
                <w:rFonts w:eastAsia="Yu Mincho"/>
              </w:rPr>
              <w:t>F</w:t>
            </w:r>
            <w:r w:rsidRPr="00A1115A">
              <w:rPr>
                <w:rFonts w:eastAsia="Yu Mincho"/>
                <w:vertAlign w:val="subscript"/>
              </w:rPr>
              <w:t xml:space="preserve">IM3,low_block,low </w:t>
            </w:r>
            <w:r w:rsidRPr="00A1115A">
              <w:rPr>
                <w:rFonts w:eastAsia="Yu Mincho"/>
              </w:rPr>
              <w:t>&gt;</w:t>
            </w:r>
            <w:r w:rsidRPr="00A1115A">
              <w:rPr>
                <w:rFonts w:eastAsia="Yu Mincho"/>
                <w:lang w:val="en-US"/>
              </w:rPr>
              <w:t xml:space="preserve"> </w:t>
            </w:r>
            <w:r w:rsidRPr="00A1115A">
              <w:rPr>
                <w:rFonts w:eastAsia="Yu Mincho"/>
              </w:rPr>
              <w:t>SEM</w:t>
            </w:r>
            <w:r w:rsidRPr="00A1115A">
              <w:rPr>
                <w:rFonts w:eastAsia="Yu Mincho"/>
                <w:vertAlign w:val="subscript"/>
              </w:rPr>
              <w:t>-13,low</w:t>
            </w:r>
            <w:r w:rsidRPr="00A1115A">
              <w:rPr>
                <w:rFonts w:eastAsia="Yu Mincho"/>
                <w:vertAlign w:val="subscript"/>
                <w:lang w:val="en-US"/>
              </w:rPr>
              <w:t xml:space="preserve"> ,  </w:t>
            </w:r>
            <w:r w:rsidRPr="00A1115A">
              <w:rPr>
                <w:rFonts w:eastAsia="Yu Mincho"/>
              </w:rPr>
              <w:t>F</w:t>
            </w:r>
            <w:r w:rsidRPr="00A1115A">
              <w:rPr>
                <w:rFonts w:eastAsia="Yu Mincho"/>
                <w:vertAlign w:val="subscript"/>
              </w:rPr>
              <w:t>IM3,high_block,high</w:t>
            </w:r>
            <w:r w:rsidRPr="00A1115A">
              <w:rPr>
                <w:rFonts w:eastAsia="Yu Mincho"/>
              </w:rPr>
              <w:t xml:space="preserve"> &lt; SEM</w:t>
            </w:r>
            <w:r w:rsidRPr="00A1115A">
              <w:rPr>
                <w:rFonts w:eastAsia="Yu Mincho"/>
                <w:vertAlign w:val="subscript"/>
              </w:rPr>
              <w:t>-13,high</w:t>
            </w:r>
            <w:r w:rsidRPr="00A1115A">
              <w:rPr>
                <w:rFonts w:eastAsia="Yu Mincho"/>
              </w:rPr>
              <w:t xml:space="preserve"> </w:t>
            </w:r>
            <w:r w:rsidRPr="00A1115A">
              <w:rPr>
                <w:rFonts w:eastAsia="Yu Mincho"/>
                <w:lang w:val="en-US"/>
              </w:rPr>
              <w:t>)</w:t>
            </w:r>
          </w:p>
          <w:p w14:paraId="0AC9F6B0" w14:textId="77777777" w:rsidR="00C44AB9" w:rsidRPr="00A1115A" w:rsidRDefault="00C44AB9" w:rsidP="00B1244C">
            <w:pPr>
              <w:spacing w:after="0"/>
              <w:ind w:left="568"/>
              <w:rPr>
                <w:rFonts w:eastAsia="Yu Mincho"/>
                <w:lang w:val="en-US"/>
              </w:rPr>
            </w:pPr>
          </w:p>
          <w:p w14:paraId="01097025" w14:textId="77777777" w:rsidR="00C44AB9" w:rsidRPr="00A1115A" w:rsidRDefault="00C44AB9" w:rsidP="00B1244C">
            <w:pPr>
              <w:spacing w:after="0"/>
              <w:ind w:left="1134" w:hanging="566"/>
              <w:rPr>
                <w:rFonts w:eastAsia="Yu Mincho"/>
                <w:lang w:val="en-US"/>
              </w:rPr>
            </w:pPr>
            <w:r w:rsidRPr="00A1115A">
              <w:rPr>
                <w:rFonts w:eastAsia="Yu Mincho"/>
                <w:lang w:val="en-US"/>
              </w:rPr>
              <w:tab/>
            </w:r>
            <w:r w:rsidRPr="00A1115A">
              <w:rPr>
                <w:rFonts w:eastAsia="Yu Mincho"/>
                <w:lang w:val="en-US"/>
              </w:rPr>
              <w:tab/>
            </w:r>
            <w:r w:rsidRPr="00A1115A">
              <w:t xml:space="preserve">MPR </w:t>
            </w:r>
            <w:r w:rsidRPr="00A1115A">
              <w:rPr>
                <w:rFonts w:eastAsia="Yu Mincho"/>
                <w:lang w:val="en-US"/>
              </w:rPr>
              <w:t>defined in Clause 6.2A.2.2.2</w:t>
            </w:r>
            <w:r>
              <w:rPr>
                <w:rFonts w:eastAsia="Yu Mincho"/>
                <w:lang w:val="en-US"/>
              </w:rPr>
              <w:t xml:space="preserve">.1 and </w:t>
            </w:r>
            <w:r w:rsidRPr="00A1115A">
              <w:rPr>
                <w:rFonts w:eastAsia="Yu Mincho"/>
                <w:lang w:val="en-US"/>
              </w:rPr>
              <w:t>Clause 6.2A.2.2.2</w:t>
            </w:r>
            <w:r>
              <w:rPr>
                <w:rFonts w:eastAsia="Yu Mincho"/>
                <w:lang w:val="en-US"/>
              </w:rPr>
              <w:t xml:space="preserve">.2 for PC3 and PC2 UE </w:t>
            </w:r>
            <w:r>
              <w:t>respectively.</w:t>
            </w:r>
          </w:p>
          <w:p w14:paraId="621FE360" w14:textId="77777777" w:rsidR="00C44AB9" w:rsidRPr="00A1115A" w:rsidRDefault="00C44AB9" w:rsidP="00B1244C">
            <w:pPr>
              <w:spacing w:after="0"/>
              <w:ind w:left="568"/>
              <w:rPr>
                <w:rFonts w:eastAsia="Yu Mincho"/>
                <w:lang w:val="en-US"/>
              </w:rPr>
            </w:pPr>
          </w:p>
          <w:p w14:paraId="7C62D2F5" w14:textId="77777777" w:rsidR="00C44AB9" w:rsidRPr="00A1115A" w:rsidRDefault="00C44AB9" w:rsidP="00B1244C">
            <w:pPr>
              <w:ind w:left="568"/>
            </w:pPr>
            <w:r w:rsidRPr="00A1115A">
              <w:t>Else</w:t>
            </w:r>
          </w:p>
          <w:p w14:paraId="7643FAAF" w14:textId="77777777" w:rsidR="00C44AB9" w:rsidRDefault="00C44AB9" w:rsidP="00B1244C">
            <w:pPr>
              <w:spacing w:after="0"/>
              <w:ind w:left="1134" w:hanging="566"/>
              <w:rPr>
                <w:rFonts w:eastAsia="Yu Mincho"/>
                <w:lang w:val="en-US"/>
              </w:rPr>
            </w:pPr>
            <w:r w:rsidRPr="001E3B87">
              <w:rPr>
                <w:rFonts w:eastAsia="Yu Mincho"/>
                <w:lang w:val="en-US"/>
              </w:rPr>
              <w:tab/>
            </w:r>
            <w:r w:rsidRPr="001E3B87">
              <w:rPr>
                <w:rFonts w:eastAsia="Yu Mincho"/>
                <w:lang w:val="en-US"/>
              </w:rPr>
              <w:tab/>
              <w:t xml:space="preserve">MPR </w:t>
            </w:r>
            <w:r w:rsidRPr="00A1115A">
              <w:rPr>
                <w:rFonts w:eastAsia="Yu Mincho"/>
                <w:lang w:val="en-US"/>
              </w:rPr>
              <w:t>defined in Clause 6.2A.2.2.1</w:t>
            </w:r>
            <w:r>
              <w:rPr>
                <w:rFonts w:eastAsia="Yu Mincho"/>
                <w:lang w:val="en-US"/>
              </w:rPr>
              <w:t xml:space="preserve">.1 and </w:t>
            </w:r>
            <w:r w:rsidRPr="00A1115A">
              <w:rPr>
                <w:rFonts w:eastAsia="Yu Mincho"/>
                <w:lang w:val="en-US"/>
              </w:rPr>
              <w:t>Clause 6.2A.2.2.</w:t>
            </w:r>
            <w:r>
              <w:rPr>
                <w:rFonts w:eastAsia="Yu Mincho"/>
                <w:lang w:val="en-US"/>
              </w:rPr>
              <w:t xml:space="preserve">1.2 for PC3 and PC2 UE </w:t>
            </w:r>
            <w:r w:rsidRPr="001E3B87">
              <w:rPr>
                <w:rFonts w:eastAsia="Yu Mincho"/>
                <w:lang w:val="en-US"/>
              </w:rPr>
              <w:t>respectively.</w:t>
            </w:r>
          </w:p>
          <w:p w14:paraId="28F50B2E" w14:textId="77777777" w:rsidR="00C44AB9" w:rsidRPr="00A1115A" w:rsidRDefault="00C44AB9" w:rsidP="00B1244C">
            <w:pPr>
              <w:spacing w:after="0"/>
              <w:ind w:left="1134" w:hanging="566"/>
              <w:rPr>
                <w:rFonts w:eastAsia="Yu Mincho"/>
                <w:lang w:val="en-US"/>
              </w:rPr>
            </w:pPr>
          </w:p>
          <w:p w14:paraId="5BBAA413" w14:textId="77777777" w:rsidR="00C44AB9" w:rsidRPr="002E1676" w:rsidRDefault="00C44AB9" w:rsidP="00B1244C">
            <w:pPr>
              <w:spacing w:after="0"/>
            </w:pPr>
            <w:r w:rsidRPr="002E1676">
              <w:rPr>
                <w:rFonts w:eastAsia="Yu Mincho"/>
                <w:lang w:val="en-US"/>
              </w:rPr>
              <w:tab/>
              <w:t xml:space="preserve">For UE without indicating </w:t>
            </w:r>
            <w:r w:rsidRPr="002E1676">
              <w:rPr>
                <w:i/>
              </w:rPr>
              <w:t xml:space="preserve">dualPA-Architecture </w:t>
            </w:r>
            <w:r w:rsidRPr="002E1676">
              <w:t>supported</w:t>
            </w:r>
          </w:p>
          <w:p w14:paraId="223547DE" w14:textId="77777777" w:rsidR="00C44AB9" w:rsidRPr="002E1676" w:rsidRDefault="00C44AB9" w:rsidP="00B1244C">
            <w:pPr>
              <w:spacing w:after="0"/>
              <w:rPr>
                <w:rFonts w:eastAsia="Yu Mincho"/>
                <w:lang w:val="en-US"/>
              </w:rPr>
            </w:pPr>
          </w:p>
          <w:p w14:paraId="7112D6C1" w14:textId="77777777" w:rsidR="00C44AB9" w:rsidRPr="002E1676" w:rsidRDefault="00C44AB9" w:rsidP="00B1244C">
            <w:pPr>
              <w:spacing w:after="0"/>
              <w:ind w:left="568"/>
              <w:rPr>
                <w:rFonts w:eastAsia="Yu Mincho"/>
                <w:lang w:val="en-US"/>
              </w:rPr>
            </w:pPr>
            <w:r w:rsidRPr="009F7E82">
              <w:rPr>
                <w:rFonts w:eastAsia="Yu Mincho"/>
                <w:highlight w:val="yellow"/>
                <w:lang w:val="en-US"/>
              </w:rPr>
              <w:t xml:space="preserve">If OR( </w:t>
            </w:r>
            <w:r w:rsidRPr="009F7E82">
              <w:rPr>
                <w:highlight w:val="yellow"/>
              </w:rPr>
              <w:t>L</w:t>
            </w:r>
            <w:r w:rsidRPr="009F7E82">
              <w:rPr>
                <w:highlight w:val="yellow"/>
                <w:vertAlign w:val="subscript"/>
              </w:rPr>
              <w:t xml:space="preserve">CRB1 </w:t>
            </w:r>
            <w:r w:rsidRPr="009F7E82">
              <w:rPr>
                <w:rFonts w:eastAsia="Yu Mincho"/>
                <w:highlight w:val="yellow"/>
                <w:lang w:val="en-US"/>
              </w:rPr>
              <w:t xml:space="preserve">= 0, </w:t>
            </w:r>
            <w:r w:rsidRPr="009F7E82">
              <w:rPr>
                <w:highlight w:val="yellow"/>
              </w:rPr>
              <w:t>L</w:t>
            </w:r>
            <w:r w:rsidRPr="009F7E82">
              <w:rPr>
                <w:highlight w:val="yellow"/>
                <w:vertAlign w:val="subscript"/>
              </w:rPr>
              <w:t xml:space="preserve">CRB2 </w:t>
            </w:r>
            <w:r w:rsidRPr="009F7E82">
              <w:rPr>
                <w:rFonts w:eastAsia="Yu Mincho"/>
                <w:highlight w:val="yellow"/>
                <w:lang w:val="en-US"/>
              </w:rPr>
              <w:t>= 0</w:t>
            </w:r>
            <w:r w:rsidRPr="009F7E82">
              <w:rPr>
                <w:rFonts w:eastAsia="Yu Mincho"/>
                <w:highlight w:val="yellow"/>
              </w:rPr>
              <w:t xml:space="preserve"> </w:t>
            </w:r>
            <w:r w:rsidRPr="009F7E82">
              <w:rPr>
                <w:rFonts w:eastAsia="Yu Mincho"/>
                <w:highlight w:val="yellow"/>
                <w:lang w:val="en-US"/>
              </w:rPr>
              <w:t>)</w:t>
            </w:r>
          </w:p>
          <w:p w14:paraId="7AC59269" w14:textId="77777777" w:rsidR="00C44AB9" w:rsidRPr="002E1676" w:rsidRDefault="00C44AB9" w:rsidP="00B1244C">
            <w:pPr>
              <w:spacing w:after="0"/>
              <w:ind w:left="568"/>
              <w:rPr>
                <w:rFonts w:eastAsia="Yu Mincho"/>
                <w:lang w:val="en-US"/>
              </w:rPr>
            </w:pPr>
          </w:p>
          <w:p w14:paraId="088EC05B" w14:textId="77777777" w:rsidR="00C44AB9" w:rsidRPr="002E1676" w:rsidRDefault="00C44AB9" w:rsidP="00B1244C">
            <w:pPr>
              <w:spacing w:after="0"/>
              <w:ind w:left="852" w:firstLine="284"/>
            </w:pPr>
            <w:r w:rsidRPr="002E1676">
              <w:rPr>
                <w:rFonts w:eastAsia="Yu Mincho"/>
                <w:lang w:val="en-US"/>
              </w:rPr>
              <w:t xml:space="preserve">For PC3 UE, MPR defined in </w:t>
            </w:r>
            <w:r w:rsidRPr="009F7E82">
              <w:rPr>
                <w:rFonts w:eastAsia="Yu Mincho"/>
                <w:highlight w:val="yellow"/>
                <w:lang w:val="en-US"/>
              </w:rPr>
              <w:t>Table 6.2.2-1</w:t>
            </w:r>
            <w:r w:rsidRPr="002E1676">
              <w:rPr>
                <w:rFonts w:eastAsia="Yu Mincho"/>
                <w:lang w:val="en-US"/>
              </w:rPr>
              <w:t xml:space="preserve">, except </w:t>
            </w:r>
            <w:r w:rsidRPr="002E1676">
              <w:t xml:space="preserve">for B &lt; </w:t>
            </w:r>
            <w:r w:rsidRPr="00FE3F14">
              <w:rPr>
                <w:bCs/>
              </w:rPr>
              <w:t>9</w:t>
            </w:r>
            <w:r w:rsidRPr="002E1676">
              <w:t xml:space="preserve"> MHz where </w:t>
            </w:r>
            <w:r w:rsidRPr="00FE3F14">
              <w:rPr>
                <w:bCs/>
              </w:rPr>
              <w:t>5.5</w:t>
            </w:r>
            <w:r w:rsidRPr="002E1676">
              <w:t xml:space="preserve"> dB MPR is used;</w:t>
            </w:r>
          </w:p>
          <w:p w14:paraId="6776206C" w14:textId="77777777" w:rsidR="00C44AB9" w:rsidRPr="002E1676" w:rsidRDefault="00C44AB9" w:rsidP="00B1244C">
            <w:pPr>
              <w:spacing w:after="0"/>
              <w:ind w:left="852" w:firstLine="284"/>
            </w:pPr>
            <w:r w:rsidRPr="002E1676">
              <w:rPr>
                <w:rFonts w:hint="eastAsia"/>
              </w:rPr>
              <w:t xml:space="preserve">For PC2 UE without indicating </w:t>
            </w:r>
            <w:r w:rsidRPr="002E1676">
              <w:rPr>
                <w:rFonts w:hint="eastAsia"/>
                <w:i/>
                <w:iCs/>
              </w:rPr>
              <w:t>TxD</w:t>
            </w:r>
            <w:r w:rsidRPr="002E1676">
              <w:rPr>
                <w:rFonts w:hint="eastAsia"/>
              </w:rPr>
              <w:t xml:space="preserve">, MPR defined in </w:t>
            </w:r>
            <w:r w:rsidRPr="009F7E82">
              <w:rPr>
                <w:rFonts w:hint="eastAsia"/>
                <w:highlight w:val="yellow"/>
              </w:rPr>
              <w:t>Table 6.2.2-2</w:t>
            </w:r>
            <w:r w:rsidRPr="002E1676">
              <w:rPr>
                <w:rFonts w:hint="eastAsia"/>
              </w:rPr>
              <w:t xml:space="preserve"> is used, except for B &lt; </w:t>
            </w:r>
            <w:r w:rsidRPr="002E1676">
              <w:rPr>
                <w:rFonts w:hint="eastAsia"/>
                <w:bCs/>
              </w:rPr>
              <w:t>11.52</w:t>
            </w:r>
            <w:r w:rsidRPr="002E1676">
              <w:rPr>
                <w:rFonts w:hint="eastAsia"/>
              </w:rPr>
              <w:t xml:space="preserve"> MHz where </w:t>
            </w:r>
            <w:r w:rsidRPr="002E1676">
              <w:rPr>
                <w:rFonts w:hint="eastAsia"/>
                <w:bCs/>
              </w:rPr>
              <w:t>6.5</w:t>
            </w:r>
            <w:r w:rsidRPr="002E1676">
              <w:rPr>
                <w:rFonts w:hint="eastAsia"/>
              </w:rPr>
              <w:t xml:space="preserve"> dB </w:t>
            </w:r>
            <w:r>
              <w:t xml:space="preserve">MPR </w:t>
            </w:r>
            <w:r w:rsidRPr="002E1676">
              <w:rPr>
                <w:rFonts w:hint="eastAsia"/>
              </w:rPr>
              <w:t>is used;</w:t>
            </w:r>
          </w:p>
          <w:p w14:paraId="39C6C65F" w14:textId="77777777" w:rsidR="00C44AB9" w:rsidRPr="002E1676" w:rsidRDefault="00C44AB9" w:rsidP="00B1244C">
            <w:pPr>
              <w:ind w:left="852" w:firstLine="284"/>
              <w:rPr>
                <w:rFonts w:eastAsia="Yu Mincho"/>
              </w:rPr>
            </w:pPr>
            <w:r w:rsidRPr="002E1676">
              <w:rPr>
                <w:rFonts w:hint="eastAsia"/>
              </w:rPr>
              <w:t xml:space="preserve">For PC2 UE indicating </w:t>
            </w:r>
            <w:r w:rsidRPr="002E1676">
              <w:rPr>
                <w:rFonts w:hint="eastAsia"/>
                <w:i/>
                <w:iCs/>
              </w:rPr>
              <w:t>TxD</w:t>
            </w:r>
            <w:r w:rsidRPr="002E1676">
              <w:rPr>
                <w:rFonts w:hint="eastAsia"/>
              </w:rPr>
              <w:t xml:space="preserve">, MPR defined in </w:t>
            </w:r>
            <w:r w:rsidRPr="009F7E82">
              <w:rPr>
                <w:rFonts w:hint="eastAsia"/>
                <w:highlight w:val="yellow"/>
              </w:rPr>
              <w:t>Table 6.2D.2-1</w:t>
            </w:r>
            <w:r>
              <w:t xml:space="preserve"> </w:t>
            </w:r>
            <w:r w:rsidRPr="002E1676">
              <w:rPr>
                <w:rFonts w:hint="eastAsia"/>
              </w:rPr>
              <w:t xml:space="preserve">is used, except for B &lt; </w:t>
            </w:r>
            <w:r w:rsidRPr="002E1676">
              <w:rPr>
                <w:rFonts w:hint="eastAsia"/>
                <w:bCs/>
              </w:rPr>
              <w:t>11.52</w:t>
            </w:r>
            <w:r w:rsidRPr="002E1676">
              <w:rPr>
                <w:rFonts w:hint="eastAsia"/>
              </w:rPr>
              <w:t xml:space="preserve"> MHz where the maximum value between </w:t>
            </w:r>
            <w:r w:rsidRPr="002E1676">
              <w:rPr>
                <w:rFonts w:hint="eastAsia"/>
                <w:bCs/>
              </w:rPr>
              <w:t>6.5</w:t>
            </w:r>
            <w:r w:rsidRPr="002E1676">
              <w:rPr>
                <w:rFonts w:hint="eastAsia"/>
              </w:rPr>
              <w:t xml:space="preserve"> dB and MPR defined in Table 6.2D.2-1</w:t>
            </w:r>
            <w:r>
              <w:t xml:space="preserve"> </w:t>
            </w:r>
            <w:r w:rsidRPr="002E1676">
              <w:rPr>
                <w:rFonts w:hint="eastAsia"/>
              </w:rPr>
              <w:t>is used.</w:t>
            </w:r>
          </w:p>
          <w:p w14:paraId="19B4FD03" w14:textId="77777777" w:rsidR="00C44AB9" w:rsidRPr="002E1676" w:rsidRDefault="00C44AB9" w:rsidP="00B1244C">
            <w:pPr>
              <w:spacing w:after="0"/>
              <w:ind w:left="568"/>
              <w:rPr>
                <w:rFonts w:eastAsia="Yu Mincho"/>
                <w:lang w:val="en-US"/>
              </w:rPr>
            </w:pPr>
            <w:r w:rsidRPr="002E1676">
              <w:rPr>
                <w:rFonts w:eastAsia="Yu Mincho"/>
                <w:lang w:val="en-US"/>
              </w:rPr>
              <w:t xml:space="preserve">Else If AND( </w:t>
            </w:r>
            <w:r w:rsidRPr="002E1676">
              <w:rPr>
                <w:rFonts w:eastAsia="Yu Mincho"/>
              </w:rPr>
              <w:t>F</w:t>
            </w:r>
            <w:r w:rsidRPr="002E1676">
              <w:rPr>
                <w:rFonts w:eastAsia="Yu Mincho"/>
                <w:vertAlign w:val="subscript"/>
              </w:rPr>
              <w:t xml:space="preserve">IM3,low_block,low </w:t>
            </w:r>
            <w:r w:rsidRPr="002E1676">
              <w:rPr>
                <w:rFonts w:eastAsia="Yu Mincho"/>
              </w:rPr>
              <w:t>&gt;</w:t>
            </w:r>
            <w:r w:rsidRPr="002E1676">
              <w:rPr>
                <w:rFonts w:eastAsia="Yu Mincho"/>
                <w:lang w:val="en-US"/>
              </w:rPr>
              <w:t xml:space="preserve"> </w:t>
            </w:r>
            <w:r w:rsidRPr="002E1676">
              <w:rPr>
                <w:rFonts w:eastAsia="Yu Mincho"/>
              </w:rPr>
              <w:t>SEM</w:t>
            </w:r>
            <w:r w:rsidRPr="002E1676">
              <w:rPr>
                <w:rFonts w:eastAsia="Yu Mincho"/>
                <w:vertAlign w:val="subscript"/>
              </w:rPr>
              <w:t>-13,low</w:t>
            </w:r>
            <w:r w:rsidRPr="002E1676">
              <w:rPr>
                <w:rFonts w:eastAsia="Yu Mincho"/>
                <w:vertAlign w:val="subscript"/>
                <w:lang w:val="en-US"/>
              </w:rPr>
              <w:t xml:space="preserve"> ,  </w:t>
            </w:r>
            <w:r w:rsidRPr="002E1676">
              <w:rPr>
                <w:rFonts w:eastAsia="Yu Mincho"/>
              </w:rPr>
              <w:t>F</w:t>
            </w:r>
            <w:r w:rsidRPr="002E1676">
              <w:rPr>
                <w:rFonts w:eastAsia="Yu Mincho"/>
                <w:vertAlign w:val="subscript"/>
              </w:rPr>
              <w:t>IM3,high_block,high</w:t>
            </w:r>
            <w:r w:rsidRPr="002E1676">
              <w:rPr>
                <w:rFonts w:eastAsia="Yu Mincho"/>
              </w:rPr>
              <w:t xml:space="preserve"> &lt; SEM</w:t>
            </w:r>
            <w:r w:rsidRPr="002E1676">
              <w:rPr>
                <w:rFonts w:eastAsia="Yu Mincho"/>
                <w:vertAlign w:val="subscript"/>
              </w:rPr>
              <w:t>-13,high</w:t>
            </w:r>
            <w:r w:rsidRPr="002E1676">
              <w:rPr>
                <w:rFonts w:eastAsia="Yu Mincho"/>
              </w:rPr>
              <w:t xml:space="preserve"> </w:t>
            </w:r>
            <w:r w:rsidRPr="002E1676">
              <w:rPr>
                <w:rFonts w:eastAsia="Yu Mincho"/>
                <w:lang w:val="en-US"/>
              </w:rPr>
              <w:t>)</w:t>
            </w:r>
          </w:p>
          <w:p w14:paraId="4F5B0F0A" w14:textId="77777777" w:rsidR="00C44AB9" w:rsidRPr="002E1676" w:rsidRDefault="00C44AB9" w:rsidP="00B1244C">
            <w:pPr>
              <w:spacing w:after="0"/>
              <w:ind w:left="568"/>
              <w:rPr>
                <w:rFonts w:eastAsia="Yu Mincho"/>
                <w:lang w:val="en-US"/>
              </w:rPr>
            </w:pPr>
          </w:p>
          <w:p w14:paraId="735CE040" w14:textId="77777777" w:rsidR="00C44AB9" w:rsidRPr="002E1676" w:rsidRDefault="00C44AB9" w:rsidP="00B1244C">
            <w:pPr>
              <w:spacing w:after="0"/>
              <w:ind w:left="1134" w:hanging="566"/>
              <w:rPr>
                <w:rFonts w:eastAsia="Yu Mincho"/>
                <w:lang w:val="en-US"/>
              </w:rPr>
            </w:pPr>
            <w:r w:rsidRPr="002E1676">
              <w:rPr>
                <w:rFonts w:eastAsia="Yu Mincho"/>
                <w:lang w:val="en-US"/>
              </w:rPr>
              <w:tab/>
            </w:r>
            <w:r w:rsidRPr="002E1676">
              <w:rPr>
                <w:rFonts w:eastAsia="Yu Mincho"/>
                <w:lang w:val="en-US"/>
              </w:rPr>
              <w:tab/>
            </w:r>
            <w:r w:rsidRPr="002E1676">
              <w:t xml:space="preserve">MPR </w:t>
            </w:r>
            <w:r w:rsidRPr="002E1676">
              <w:rPr>
                <w:rFonts w:eastAsia="Yu Mincho"/>
                <w:lang w:val="en-US"/>
              </w:rPr>
              <w:t xml:space="preserve">defined in Clause 6.2A.2.2.2.3 and Clause 6.2A.2.2.2.4 for PC3 and PC2 UE </w:t>
            </w:r>
            <w:r w:rsidRPr="002E1676">
              <w:t>respectively.</w:t>
            </w:r>
          </w:p>
          <w:p w14:paraId="4D13ED7D" w14:textId="77777777" w:rsidR="00C44AB9" w:rsidRPr="002E1676" w:rsidRDefault="00C44AB9" w:rsidP="00B1244C">
            <w:pPr>
              <w:spacing w:after="0"/>
              <w:ind w:left="568"/>
              <w:rPr>
                <w:rFonts w:eastAsia="Yu Mincho"/>
                <w:lang w:val="en-US"/>
              </w:rPr>
            </w:pPr>
          </w:p>
          <w:p w14:paraId="108AA02A" w14:textId="77777777" w:rsidR="00C44AB9" w:rsidRPr="002E1676" w:rsidRDefault="00C44AB9" w:rsidP="00B1244C">
            <w:pPr>
              <w:ind w:left="568"/>
            </w:pPr>
            <w:r w:rsidRPr="002E1676">
              <w:t>Else</w:t>
            </w:r>
          </w:p>
          <w:p w14:paraId="312F373D" w14:textId="77777777" w:rsidR="00C44AB9" w:rsidRPr="009F7E82" w:rsidRDefault="00C44AB9" w:rsidP="00B1244C">
            <w:pPr>
              <w:spacing w:after="0"/>
              <w:ind w:left="1134" w:hanging="566"/>
              <w:rPr>
                <w:lang w:val="en-US"/>
              </w:rPr>
            </w:pPr>
            <w:r w:rsidRPr="002E1676">
              <w:rPr>
                <w:rFonts w:eastAsia="Yu Mincho"/>
                <w:lang w:val="en-US"/>
              </w:rPr>
              <w:tab/>
            </w:r>
            <w:r w:rsidRPr="002E1676">
              <w:rPr>
                <w:rFonts w:eastAsia="Yu Mincho"/>
                <w:lang w:val="en-US"/>
              </w:rPr>
              <w:tab/>
              <w:t>MPR defined in Clause 6.2A.2.2.1.3 and Clause 6.2A.2.2.1.4 for PC3 and PC2 UE respectively.</w:t>
            </w:r>
          </w:p>
        </w:tc>
      </w:tr>
    </w:tbl>
    <w:p w14:paraId="33B9BCBB" w14:textId="77777777" w:rsidR="00C44AB9" w:rsidRDefault="00C44AB9" w:rsidP="00C44AB9">
      <w:pPr>
        <w:jc w:val="both"/>
      </w:pPr>
      <w:r>
        <w:t xml:space="preserve">From those highlighted parts, it can be observed that the single band MPR would apply when there is no scheduling after configuration and activation on any one of the two component carriers (except for those “corner cases” with smaller RB allocation where larger MPR would be utilized). </w:t>
      </w:r>
    </w:p>
    <w:p w14:paraId="778A2793" w14:textId="06C82114" w:rsidR="00C44AB9" w:rsidRPr="008C7EAC" w:rsidRDefault="00C44AB9" w:rsidP="00C44AB9">
      <w:pPr>
        <w:jc w:val="both"/>
        <w:rPr>
          <w:b/>
          <w:i/>
        </w:rPr>
      </w:pPr>
      <w:r>
        <w:rPr>
          <w:b/>
          <w:i/>
        </w:rPr>
        <w:t>Observation 7: For FR1</w:t>
      </w:r>
      <w:r w:rsidRPr="008C7EAC">
        <w:t xml:space="preserve"> </w:t>
      </w:r>
      <w:r w:rsidRPr="008C7EAC">
        <w:rPr>
          <w:b/>
          <w:i/>
        </w:rPr>
        <w:t>intra-band non-contiguous UL CA</w:t>
      </w:r>
      <w:r>
        <w:rPr>
          <w:b/>
          <w:i/>
        </w:rPr>
        <w:t>, the single carrier MPR would be applied when only one component carrier is scheduled after configuration and activation (except for smaller RB allocation on that component carrier where larger MPR needs to be utilised instead).</w:t>
      </w:r>
    </w:p>
    <w:p w14:paraId="0A1D23D9" w14:textId="77777777" w:rsidR="00C44AB9" w:rsidRDefault="00C44AB9" w:rsidP="00C44AB9">
      <w:pPr>
        <w:jc w:val="both"/>
      </w:pPr>
      <w:r>
        <w:t>Since the other “drastic” MPR requirements for non-contiguous intra-band UL CA were derived based on SEM, which is regulatory dominated, thus we think non-contiguous case doesn’t need to be considered for Rel-19 MPR reduction.</w:t>
      </w:r>
    </w:p>
    <w:p w14:paraId="1AF4EF9C" w14:textId="42074859" w:rsidR="00C44AB9" w:rsidRDefault="00C44AB9" w:rsidP="00C44AB9">
      <w:pPr>
        <w:jc w:val="both"/>
        <w:rPr>
          <w:b/>
          <w:i/>
        </w:rPr>
      </w:pPr>
      <w:r>
        <w:rPr>
          <w:b/>
          <w:i/>
        </w:rPr>
        <w:t xml:space="preserve">Proposal 9: </w:t>
      </w:r>
      <w:r>
        <w:rPr>
          <w:rFonts w:hint="eastAsia"/>
          <w:b/>
          <w:i/>
        </w:rPr>
        <w:t>I</w:t>
      </w:r>
      <w:r>
        <w:rPr>
          <w:b/>
          <w:i/>
        </w:rPr>
        <w:t>n Rel-19, the applicable MPR for FR1</w:t>
      </w:r>
      <w:r w:rsidRPr="008C7EAC">
        <w:t xml:space="preserve"> </w:t>
      </w:r>
      <w:r w:rsidRPr="008C7EAC">
        <w:rPr>
          <w:b/>
          <w:i/>
        </w:rPr>
        <w:t>intra-band non-contiguous UL CA</w:t>
      </w:r>
      <w:r>
        <w:rPr>
          <w:b/>
          <w:i/>
        </w:rPr>
        <w:t xml:space="preserve"> doesn’t need further enhancement.</w:t>
      </w:r>
    </w:p>
    <w:p w14:paraId="4198FADB" w14:textId="77777777" w:rsidR="00C44AB9" w:rsidRDefault="00C44AB9" w:rsidP="00C44AB9">
      <w:pPr>
        <w:jc w:val="both"/>
      </w:pPr>
    </w:p>
    <w:p w14:paraId="24DC6C77" w14:textId="77777777" w:rsidR="00C44AB9" w:rsidRDefault="00C44AB9" w:rsidP="00C44AB9">
      <w:pPr>
        <w:pStyle w:val="3"/>
        <w:numPr>
          <w:ilvl w:val="0"/>
          <w:numId w:val="0"/>
        </w:numPr>
        <w:ind w:left="510" w:hanging="510"/>
        <w:rPr>
          <w:rFonts w:ascii="Times New Roman" w:hAnsi="Times New Roman"/>
          <w:b/>
          <w:sz w:val="20"/>
          <w:u w:val="single"/>
          <w:lang w:val="en-GB"/>
        </w:rPr>
      </w:pPr>
      <w:r>
        <w:rPr>
          <w:rFonts w:ascii="Times New Roman" w:hAnsi="Times New Roman"/>
          <w:b/>
          <w:sz w:val="20"/>
          <w:u w:val="single"/>
          <w:lang w:val="en-GB"/>
        </w:rPr>
        <w:lastRenderedPageBreak/>
        <w:t>FR2 intra-band CA</w:t>
      </w:r>
    </w:p>
    <w:p w14:paraId="3739E0F4" w14:textId="77777777" w:rsidR="00C44AB9" w:rsidRDefault="00C44AB9" w:rsidP="00C44AB9">
      <w:r>
        <w:t>For FR2, we would like to check if PC3 can be the interested candidate from work load perspective.</w:t>
      </w:r>
    </w:p>
    <w:p w14:paraId="4277D4AC" w14:textId="58A8EB66" w:rsidR="00C44AB9" w:rsidRPr="00B1244C" w:rsidRDefault="00C44AB9" w:rsidP="00C44AB9">
      <w:r>
        <w:rPr>
          <w:b/>
          <w:i/>
        </w:rPr>
        <w:t xml:space="preserve">Proposal </w:t>
      </w:r>
      <w:r w:rsidR="00F725B0">
        <w:rPr>
          <w:b/>
          <w:i/>
        </w:rPr>
        <w:t>10</w:t>
      </w:r>
      <w:r>
        <w:rPr>
          <w:b/>
          <w:i/>
        </w:rPr>
        <w:t>: For FR2, check if only PC3 UE will be considered for Rel-19 study.</w:t>
      </w:r>
    </w:p>
    <w:p w14:paraId="0A2690C5" w14:textId="77777777" w:rsidR="00C44AB9" w:rsidRDefault="00C44AB9" w:rsidP="00C44AB9">
      <w:pPr>
        <w:jc w:val="both"/>
      </w:pPr>
      <w:r>
        <w:t>By reviewing the early discussion on FR2 MPR for intra-band UL CA operation, we understand that common Rx/Tx LO was picked as one valid architecture assumption mainly considering following aspects:</w:t>
      </w:r>
    </w:p>
    <w:p w14:paraId="048C9795" w14:textId="77777777" w:rsidR="00C44AB9" w:rsidRPr="0062253F" w:rsidRDefault="00C44AB9" w:rsidP="00C44AB9">
      <w:pPr>
        <w:pStyle w:val="aff6"/>
        <w:numPr>
          <w:ilvl w:val="0"/>
          <w:numId w:val="25"/>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C</w:t>
      </w:r>
      <w:r w:rsidRPr="00CD0459">
        <w:rPr>
          <w:rFonts w:ascii="Times New Roman" w:hAnsi="Times New Roman"/>
          <w:kern w:val="0"/>
          <w:sz w:val="20"/>
          <w:szCs w:val="20"/>
          <w:lang w:val="en-GB" w:eastAsia="zh-CN"/>
        </w:rPr>
        <w:t xml:space="preserve">omparing to independent </w:t>
      </w:r>
      <w:r>
        <w:rPr>
          <w:rFonts w:ascii="Times New Roman" w:hAnsi="Times New Roman"/>
          <w:kern w:val="0"/>
          <w:sz w:val="20"/>
          <w:szCs w:val="20"/>
          <w:lang w:val="en-GB" w:eastAsia="zh-CN"/>
        </w:rPr>
        <w:t xml:space="preserve">Rx/Tx </w:t>
      </w:r>
      <w:r w:rsidRPr="00CD0459">
        <w:rPr>
          <w:rFonts w:ascii="Times New Roman" w:hAnsi="Times New Roman"/>
          <w:kern w:val="0"/>
          <w:sz w:val="20"/>
          <w:szCs w:val="20"/>
          <w:lang w:val="en-GB" w:eastAsia="zh-CN"/>
        </w:rPr>
        <w:t>LO</w:t>
      </w:r>
      <w:r>
        <w:rPr>
          <w:rFonts w:ascii="Times New Roman" w:hAnsi="Times New Roman"/>
          <w:kern w:val="0"/>
          <w:sz w:val="20"/>
          <w:szCs w:val="20"/>
          <w:lang w:val="en-GB" w:eastAsia="zh-CN"/>
        </w:rPr>
        <w:t>, common Rx/Tx LO would be enough for TDD band operation;</w:t>
      </w:r>
    </w:p>
    <w:p w14:paraId="209FE395" w14:textId="77777777" w:rsidR="00C44AB9" w:rsidRDefault="00C44AB9" w:rsidP="00C44AB9">
      <w:pPr>
        <w:pStyle w:val="aff6"/>
        <w:numPr>
          <w:ilvl w:val="0"/>
          <w:numId w:val="25"/>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Independent Rx/Tx LO would lead to higher i</w:t>
      </w:r>
      <w:r w:rsidRPr="0062253F">
        <w:rPr>
          <w:rFonts w:ascii="Times New Roman" w:hAnsi="Times New Roman"/>
          <w:kern w:val="0"/>
          <w:sz w:val="20"/>
          <w:szCs w:val="20"/>
          <w:lang w:val="en-GB" w:eastAsia="zh-CN"/>
        </w:rPr>
        <w:t>mplementation cost</w:t>
      </w:r>
      <w:r>
        <w:rPr>
          <w:rFonts w:ascii="Times New Roman" w:hAnsi="Times New Roman"/>
          <w:kern w:val="0"/>
          <w:sz w:val="20"/>
          <w:szCs w:val="20"/>
          <w:lang w:val="en-GB" w:eastAsia="zh-CN"/>
        </w:rPr>
        <w:t>s</w:t>
      </w:r>
      <w:r w:rsidRPr="0062253F">
        <w:rPr>
          <w:rFonts w:ascii="Times New Roman" w:hAnsi="Times New Roman"/>
          <w:kern w:val="0"/>
          <w:sz w:val="20"/>
          <w:szCs w:val="20"/>
          <w:lang w:val="en-GB" w:eastAsia="zh-CN"/>
        </w:rPr>
        <w:t>, including heat dissipation, power consumption.</w:t>
      </w:r>
    </w:p>
    <w:p w14:paraId="30EA844D" w14:textId="77777777" w:rsidR="00C44AB9" w:rsidRDefault="00C44AB9" w:rsidP="00C44AB9">
      <w:pPr>
        <w:jc w:val="both"/>
      </w:pPr>
      <w:r>
        <w:t>Consequently, existing CA MPR requirements, at least for DL CA with single UL CC, were derived based on maximum aggregated channel bandwidth between UL and DL.</w:t>
      </w:r>
    </w:p>
    <w:tbl>
      <w:tblPr>
        <w:tblStyle w:val="af8"/>
        <w:tblW w:w="0" w:type="auto"/>
        <w:tblLook w:val="04A0" w:firstRow="1" w:lastRow="0" w:firstColumn="1" w:lastColumn="0" w:noHBand="0" w:noVBand="1"/>
      </w:tblPr>
      <w:tblGrid>
        <w:gridCol w:w="9631"/>
      </w:tblGrid>
      <w:tr w:rsidR="00C44AB9" w14:paraId="16F6D344" w14:textId="77777777" w:rsidTr="00B1244C">
        <w:trPr>
          <w:trHeight w:val="2699"/>
        </w:trPr>
        <w:tc>
          <w:tcPr>
            <w:tcW w:w="9631" w:type="dxa"/>
          </w:tcPr>
          <w:p w14:paraId="2FE24827" w14:textId="77777777" w:rsidR="00C44AB9" w:rsidRDefault="00C44AB9" w:rsidP="00B1244C">
            <w:pPr>
              <w:jc w:val="center"/>
            </w:pPr>
            <w:r>
              <w:rPr>
                <w:noProof/>
                <w:lang w:val="en-US"/>
              </w:rPr>
              <w:drawing>
                <wp:inline distT="0" distB="0" distL="0" distR="0" wp14:anchorId="10CE648B" wp14:editId="58F3E27D">
                  <wp:extent cx="5875331" cy="1619205"/>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10628" cy="1628933"/>
                          </a:xfrm>
                          <a:prstGeom prst="rect">
                            <a:avLst/>
                          </a:prstGeom>
                        </pic:spPr>
                      </pic:pic>
                    </a:graphicData>
                  </a:graphic>
                </wp:inline>
              </w:drawing>
            </w:r>
          </w:p>
        </w:tc>
      </w:tr>
    </w:tbl>
    <w:p w14:paraId="16139C0A" w14:textId="77777777" w:rsidR="00C44AB9" w:rsidRDefault="00C44AB9" w:rsidP="00C44AB9">
      <w:pPr>
        <w:jc w:val="both"/>
      </w:pPr>
      <w:r>
        <w:t xml:space="preserve">Regardless MPR applicability and/or potential reduction will be considered for future study in Rel-19, we still think common Rx/Tx LO should not be precluded.     </w:t>
      </w:r>
    </w:p>
    <w:p w14:paraId="0955F84A" w14:textId="6160688C" w:rsidR="00C44AB9" w:rsidRDefault="00C44AB9" w:rsidP="00C44AB9">
      <w:pPr>
        <w:jc w:val="both"/>
        <w:rPr>
          <w:b/>
          <w:i/>
        </w:rPr>
      </w:pPr>
      <w:r>
        <w:rPr>
          <w:b/>
          <w:i/>
        </w:rPr>
        <w:t xml:space="preserve">Proposal </w:t>
      </w:r>
      <w:r w:rsidR="00F725B0">
        <w:rPr>
          <w:b/>
          <w:i/>
        </w:rPr>
        <w:t>11</w:t>
      </w:r>
      <w:r>
        <w:rPr>
          <w:b/>
          <w:i/>
        </w:rPr>
        <w:t>: For</w:t>
      </w:r>
      <w:r w:rsidRPr="008F400D">
        <w:rPr>
          <w:b/>
          <w:i/>
        </w:rPr>
        <w:t xml:space="preserve"> </w:t>
      </w:r>
      <w:r>
        <w:rPr>
          <w:b/>
          <w:i/>
        </w:rPr>
        <w:t xml:space="preserve">FR2 </w:t>
      </w:r>
      <w:r w:rsidRPr="008F400D">
        <w:rPr>
          <w:b/>
          <w:i/>
        </w:rPr>
        <w:t>intra-band UL contiguous CA and intra-band DL contiguous CA with single UL</w:t>
      </w:r>
    </w:p>
    <w:p w14:paraId="4222DB64" w14:textId="77777777" w:rsidR="00C44AB9" w:rsidRDefault="00C44AB9" w:rsidP="00C44AB9">
      <w:pPr>
        <w:pStyle w:val="aff6"/>
        <w:numPr>
          <w:ilvl w:val="0"/>
          <w:numId w:val="24"/>
        </w:numPr>
        <w:ind w:firstLineChars="0"/>
        <w:rPr>
          <w:b/>
          <w:i/>
        </w:rPr>
      </w:pPr>
      <w:r>
        <w:rPr>
          <w:rFonts w:ascii="Times New Roman" w:hAnsi="Times New Roman"/>
          <w:b/>
          <w:i/>
          <w:kern w:val="0"/>
          <w:sz w:val="20"/>
          <w:szCs w:val="20"/>
          <w:lang w:val="en-GB" w:eastAsia="zh-CN"/>
        </w:rPr>
        <w:t>MPR applicability and/or potential reduction can be considered</w:t>
      </w:r>
    </w:p>
    <w:p w14:paraId="4E47611F" w14:textId="77777777" w:rsidR="00C44AB9" w:rsidRDefault="00C44AB9" w:rsidP="00C44AB9">
      <w:pPr>
        <w:pStyle w:val="aff6"/>
        <w:numPr>
          <w:ilvl w:val="0"/>
          <w:numId w:val="24"/>
        </w:numPr>
        <w:ind w:firstLineChars="0"/>
        <w:rPr>
          <w:b/>
          <w:i/>
        </w:rPr>
      </w:pPr>
      <w:r>
        <w:rPr>
          <w:rFonts w:ascii="Times New Roman" w:hAnsi="Times New Roman"/>
          <w:b/>
          <w:i/>
          <w:kern w:val="0"/>
          <w:sz w:val="20"/>
          <w:szCs w:val="20"/>
          <w:lang w:val="en-GB" w:eastAsia="zh-CN"/>
        </w:rPr>
        <w:t xml:space="preserve">Both simulation and measurement should be considered </w:t>
      </w:r>
      <w:r w:rsidRPr="00B1244C">
        <w:rPr>
          <w:rFonts w:ascii="Times New Roman" w:hAnsi="Times New Roman"/>
          <w:b/>
          <w:i/>
          <w:kern w:val="0"/>
          <w:sz w:val="20"/>
          <w:szCs w:val="20"/>
          <w:lang w:val="en-GB" w:eastAsia="zh-CN"/>
        </w:rPr>
        <w:t xml:space="preserve"> </w:t>
      </w:r>
    </w:p>
    <w:p w14:paraId="2365BB47" w14:textId="77777777" w:rsidR="00C44AB9" w:rsidRPr="00B1244C" w:rsidRDefault="00C44AB9" w:rsidP="00C44AB9">
      <w:pPr>
        <w:pStyle w:val="aff6"/>
        <w:numPr>
          <w:ilvl w:val="0"/>
          <w:numId w:val="24"/>
        </w:numPr>
        <w:ind w:firstLineChars="0"/>
        <w:rPr>
          <w:b/>
          <w:i/>
        </w:rPr>
      </w:pPr>
      <w:r>
        <w:rPr>
          <w:rFonts w:ascii="Times New Roman" w:hAnsi="Times New Roman"/>
          <w:b/>
          <w:i/>
          <w:kern w:val="0"/>
          <w:sz w:val="20"/>
          <w:szCs w:val="20"/>
          <w:lang w:val="en-GB" w:eastAsia="zh-CN"/>
        </w:rPr>
        <w:t>C</w:t>
      </w:r>
      <w:r w:rsidRPr="00B1244C">
        <w:rPr>
          <w:rFonts w:ascii="Times New Roman" w:hAnsi="Times New Roman"/>
          <w:b/>
          <w:i/>
          <w:kern w:val="0"/>
          <w:sz w:val="20"/>
          <w:szCs w:val="20"/>
          <w:lang w:val="en-GB" w:eastAsia="zh-CN"/>
        </w:rPr>
        <w:t>ommon Rx/Tx LO architecture</w:t>
      </w:r>
      <w:r>
        <w:rPr>
          <w:rFonts w:ascii="Times New Roman" w:hAnsi="Times New Roman"/>
          <w:b/>
          <w:i/>
          <w:kern w:val="0"/>
          <w:sz w:val="20"/>
          <w:szCs w:val="20"/>
          <w:lang w:val="en-GB" w:eastAsia="zh-CN"/>
        </w:rPr>
        <w:t xml:space="preserve"> should not be precluded as architecture assumption</w:t>
      </w:r>
      <w:r w:rsidRPr="00B1244C">
        <w:rPr>
          <w:rFonts w:ascii="Times New Roman" w:hAnsi="Times New Roman"/>
          <w:b/>
          <w:i/>
          <w:kern w:val="0"/>
          <w:sz w:val="20"/>
          <w:szCs w:val="20"/>
          <w:lang w:val="en-GB" w:eastAsia="zh-CN"/>
        </w:rPr>
        <w:t xml:space="preserve">  </w:t>
      </w:r>
    </w:p>
    <w:p w14:paraId="6C733F7F" w14:textId="77777777" w:rsidR="00A07B35" w:rsidRDefault="00A07B35" w:rsidP="008B1EB9">
      <w:pPr>
        <w:jc w:val="both"/>
      </w:pPr>
    </w:p>
    <w:p w14:paraId="605F9C82" w14:textId="77777777" w:rsidR="0062253F" w:rsidRDefault="0062253F" w:rsidP="0062253F">
      <w:pPr>
        <w:pStyle w:val="1"/>
        <w:spacing w:after="240"/>
        <w:rPr>
          <w:rFonts w:eastAsia="宋体"/>
          <w:lang w:eastAsia="zh-CN"/>
        </w:rPr>
      </w:pPr>
      <w:r>
        <w:rPr>
          <w:rFonts w:eastAsia="宋体" w:hint="eastAsia"/>
          <w:lang w:eastAsia="zh-CN"/>
        </w:rPr>
        <w:t>Conclusion</w:t>
      </w:r>
    </w:p>
    <w:p w14:paraId="4F0406C2" w14:textId="2FA6E988" w:rsidR="0062253F" w:rsidRDefault="0062253F" w:rsidP="0062253F">
      <w:pPr>
        <w:jc w:val="both"/>
        <w:rPr>
          <w:b/>
          <w:i/>
          <w:lang w:val="en-US"/>
        </w:rPr>
      </w:pPr>
      <w:r w:rsidRPr="00086BFD">
        <w:t>In this contribution we discussed</w:t>
      </w:r>
      <w:r>
        <w:rPr>
          <w:rFonts w:hint="eastAsia"/>
        </w:rPr>
        <w:t xml:space="preserve"> </w:t>
      </w:r>
      <w:r w:rsidRPr="00086BFD">
        <w:t>on the</w:t>
      </w:r>
      <w:r>
        <w:t xml:space="preserve"> Rel-19 p</w:t>
      </w:r>
      <w:r w:rsidRPr="0062253F">
        <w:t>ower boosting and/or MPR reduction</w:t>
      </w:r>
      <w:r>
        <w:t>. A</w:t>
      </w:r>
      <w:r w:rsidRPr="00086BFD">
        <w:t xml:space="preserve">ccording to the analysis, we have the following </w:t>
      </w:r>
      <w:r>
        <w:t xml:space="preserve">observations and </w:t>
      </w:r>
      <w:r w:rsidRPr="00086BFD">
        <w:t>proposal</w:t>
      </w:r>
      <w:r>
        <w:rPr>
          <w:rFonts w:hint="eastAsia"/>
        </w:rPr>
        <w:t>s</w:t>
      </w:r>
      <w:r w:rsidRPr="00086BFD">
        <w:t>:</w:t>
      </w:r>
      <w:r w:rsidRPr="00671A68">
        <w:rPr>
          <w:rFonts w:hint="eastAsia"/>
          <w:b/>
          <w:i/>
          <w:lang w:val="en-US"/>
        </w:rPr>
        <w:t xml:space="preserve"> </w:t>
      </w:r>
    </w:p>
    <w:p w14:paraId="4D127520" w14:textId="77777777" w:rsidR="00EE0E0C" w:rsidRDefault="00EE0E0C" w:rsidP="00EE0E0C">
      <w:pPr>
        <w:snapToGrid w:val="0"/>
        <w:spacing w:after="0"/>
        <w:jc w:val="both"/>
      </w:pPr>
      <w:r w:rsidRPr="00FA3ACF">
        <w:rPr>
          <w:b/>
          <w:i/>
        </w:rPr>
        <w:t>Observation</w:t>
      </w:r>
      <w:r>
        <w:rPr>
          <w:b/>
          <w:i/>
        </w:rPr>
        <w:t xml:space="preserve"> </w:t>
      </w:r>
      <w:r w:rsidRPr="00FA3ACF">
        <w:rPr>
          <w:b/>
          <w:i/>
        </w:rPr>
        <w:t>1</w:t>
      </w:r>
      <w:r>
        <w:rPr>
          <w:b/>
          <w:i/>
        </w:rPr>
        <w:t xml:space="preserve">: Real world UL traffic proves the necessity of </w:t>
      </w:r>
      <w:r w:rsidRPr="00E646BF">
        <w:rPr>
          <w:b/>
          <w:i/>
        </w:rPr>
        <w:t xml:space="preserve">power domain enhancement for large </w:t>
      </w:r>
      <w:r>
        <w:rPr>
          <w:b/>
          <w:i/>
        </w:rPr>
        <w:t xml:space="preserve">RB </w:t>
      </w:r>
      <w:r w:rsidRPr="00E646BF">
        <w:rPr>
          <w:b/>
          <w:i/>
        </w:rPr>
        <w:t xml:space="preserve">number </w:t>
      </w:r>
      <w:r>
        <w:rPr>
          <w:b/>
          <w:i/>
        </w:rPr>
        <w:t>allocation</w:t>
      </w:r>
      <w:r w:rsidRPr="00E646BF">
        <w:rPr>
          <w:b/>
          <w:i/>
        </w:rPr>
        <w:t>.</w:t>
      </w:r>
    </w:p>
    <w:p w14:paraId="43A55602" w14:textId="77777777" w:rsidR="00EE0E0C" w:rsidRPr="00E646BF" w:rsidRDefault="00EE0E0C" w:rsidP="00EE0E0C">
      <w:pPr>
        <w:snapToGrid w:val="0"/>
        <w:spacing w:after="0"/>
        <w:jc w:val="both"/>
        <w:rPr>
          <w:b/>
          <w:i/>
        </w:rPr>
      </w:pPr>
      <w:r w:rsidRPr="00E646BF">
        <w:rPr>
          <w:b/>
          <w:i/>
        </w:rPr>
        <w:t>Observation</w:t>
      </w:r>
      <w:r>
        <w:rPr>
          <w:b/>
          <w:i/>
        </w:rPr>
        <w:t xml:space="preserve"> </w:t>
      </w:r>
      <w:r w:rsidRPr="00E646BF">
        <w:rPr>
          <w:b/>
          <w:i/>
        </w:rPr>
        <w:t>2</w:t>
      </w:r>
      <w:r>
        <w:rPr>
          <w:b/>
          <w:i/>
        </w:rPr>
        <w:t xml:space="preserve">: </w:t>
      </w:r>
      <w:r w:rsidRPr="00E646BF">
        <w:rPr>
          <w:b/>
          <w:i/>
        </w:rPr>
        <w:t>ACLR is derived from co-existence study to ensure that the transmitter does not cause excessive interference to the adjacent channels between different operators.</w:t>
      </w:r>
    </w:p>
    <w:p w14:paraId="7684C85A" w14:textId="77777777" w:rsidR="00EE0E0C" w:rsidRDefault="00EE0E0C" w:rsidP="00EE0E0C">
      <w:pPr>
        <w:snapToGrid w:val="0"/>
        <w:spacing w:after="0"/>
        <w:jc w:val="both"/>
        <w:rPr>
          <w:b/>
          <w:i/>
        </w:rPr>
      </w:pPr>
      <w:r w:rsidRPr="00E646BF">
        <w:rPr>
          <w:b/>
          <w:i/>
        </w:rPr>
        <w:t>Observation</w:t>
      </w:r>
      <w:r>
        <w:rPr>
          <w:b/>
          <w:i/>
        </w:rPr>
        <w:t xml:space="preserve"> </w:t>
      </w:r>
      <w:r w:rsidRPr="00E646BF">
        <w:rPr>
          <w:b/>
          <w:i/>
        </w:rPr>
        <w:t>3</w:t>
      </w:r>
      <w:r>
        <w:rPr>
          <w:b/>
          <w:i/>
        </w:rPr>
        <w:t>: SEM has connection with ACLR but with different emphasis:</w:t>
      </w:r>
    </w:p>
    <w:p w14:paraId="5F07105E" w14:textId="77777777" w:rsidR="00EE0E0C" w:rsidRPr="004D1AD1" w:rsidRDefault="00EE0E0C" w:rsidP="00EE0E0C">
      <w:pPr>
        <w:pStyle w:val="aff6"/>
        <w:numPr>
          <w:ilvl w:val="0"/>
          <w:numId w:val="35"/>
        </w:numPr>
        <w:snapToGrid w:val="0"/>
        <w:ind w:firstLineChars="0"/>
        <w:rPr>
          <w:rFonts w:ascii="Times New Roman" w:hAnsi="Times New Roman"/>
          <w:b/>
          <w:i/>
          <w:kern w:val="0"/>
          <w:sz w:val="20"/>
          <w:szCs w:val="20"/>
          <w:lang w:val="en-GB" w:eastAsia="zh-CN"/>
        </w:rPr>
      </w:pPr>
      <w:r w:rsidRPr="004D1AD1">
        <w:rPr>
          <w:rFonts w:ascii="Times New Roman" w:hAnsi="Times New Roman"/>
          <w:b/>
          <w:i/>
          <w:kern w:val="0"/>
          <w:sz w:val="20"/>
          <w:szCs w:val="20"/>
          <w:lang w:val="en-GB" w:eastAsia="zh-CN"/>
        </w:rPr>
        <w:t>ACLR considers the average power leaked into adjacent channels by using the channel bandwidth as the measurement bandwidth. It reflects the transmitter’s “noise floor” in adjacent channel, while SEM captures out-of-specification points within narrower measurement bandwidths in adjacent channel, emphasizing “unwanted emissions based on the noise floor.”</w:t>
      </w:r>
    </w:p>
    <w:p w14:paraId="11FF4E19" w14:textId="77777777" w:rsidR="00EE0E0C" w:rsidRPr="004D1AD1" w:rsidRDefault="00EE0E0C" w:rsidP="00EE0E0C">
      <w:pPr>
        <w:snapToGrid w:val="0"/>
        <w:spacing w:after="0"/>
        <w:jc w:val="both"/>
        <w:rPr>
          <w:b/>
          <w:i/>
        </w:rPr>
      </w:pPr>
      <w:r w:rsidRPr="004D1AD1">
        <w:rPr>
          <w:b/>
          <w:i/>
        </w:rPr>
        <w:t>Observation</w:t>
      </w:r>
      <w:r>
        <w:rPr>
          <w:b/>
          <w:i/>
        </w:rPr>
        <w:t xml:space="preserve"> </w:t>
      </w:r>
      <w:r w:rsidRPr="004D1AD1">
        <w:rPr>
          <w:b/>
          <w:i/>
        </w:rPr>
        <w:t>4</w:t>
      </w:r>
      <w:r>
        <w:rPr>
          <w:b/>
          <w:i/>
        </w:rPr>
        <w:t xml:space="preserve">: </w:t>
      </w:r>
      <w:r w:rsidRPr="004D1AD1">
        <w:rPr>
          <w:b/>
          <w:i/>
        </w:rPr>
        <w:t>Spurious are related to regulations and represents “noise floor” far from the edge of the channel bandwidth.</w:t>
      </w:r>
    </w:p>
    <w:p w14:paraId="70F9EB37" w14:textId="77777777" w:rsidR="00770E01" w:rsidRPr="00E57AB0" w:rsidRDefault="00770E01" w:rsidP="00770E01">
      <w:pPr>
        <w:snapToGrid w:val="0"/>
        <w:spacing w:after="0"/>
        <w:jc w:val="both"/>
        <w:rPr>
          <w:b/>
          <w:i/>
        </w:rPr>
      </w:pPr>
      <w:r w:rsidRPr="00E57AB0">
        <w:rPr>
          <w:b/>
          <w:i/>
        </w:rPr>
        <w:t>Observation</w:t>
      </w:r>
      <w:r>
        <w:rPr>
          <w:b/>
          <w:i/>
        </w:rPr>
        <w:t xml:space="preserve"> </w:t>
      </w:r>
      <w:r w:rsidRPr="00E57AB0">
        <w:rPr>
          <w:b/>
          <w:i/>
        </w:rPr>
        <w:t>5: The interference measured by the ACLR has different absolute values corresponding to different power classes and the absolute value of ACLR would be a reasonable metric for ACLR relaxation.</w:t>
      </w:r>
    </w:p>
    <w:p w14:paraId="213FB1CF" w14:textId="77777777" w:rsidR="00770E01" w:rsidRPr="00E57AB0" w:rsidRDefault="00770E01" w:rsidP="00770E01">
      <w:pPr>
        <w:snapToGrid w:val="0"/>
        <w:spacing w:after="0"/>
        <w:rPr>
          <w:b/>
          <w:i/>
        </w:rPr>
      </w:pPr>
      <w:r w:rsidRPr="00E57AB0">
        <w:rPr>
          <w:b/>
          <w:i/>
        </w:rPr>
        <w:t>Observation</w:t>
      </w:r>
      <w:r>
        <w:rPr>
          <w:b/>
          <w:i/>
        </w:rPr>
        <w:t xml:space="preserve"> </w:t>
      </w:r>
      <w:r w:rsidRPr="00E57AB0">
        <w:rPr>
          <w:b/>
          <w:i/>
        </w:rPr>
        <w:t>6</w:t>
      </w:r>
      <w:r>
        <w:rPr>
          <w:b/>
          <w:i/>
        </w:rPr>
        <w:t xml:space="preserve">: </w:t>
      </w:r>
      <w:r w:rsidRPr="00E57AB0">
        <w:rPr>
          <w:b/>
          <w:i/>
        </w:rPr>
        <w:t>UE CBW could be different from the NW CBW, and the RF requirements are specified based on UE CBW.</w:t>
      </w:r>
    </w:p>
    <w:p w14:paraId="65650E46" w14:textId="140C3DB7" w:rsidR="00634BA2" w:rsidRPr="006E5297" w:rsidRDefault="006E5297" w:rsidP="008B1EB9">
      <w:pPr>
        <w:jc w:val="both"/>
        <w:rPr>
          <w:b/>
          <w:i/>
        </w:rPr>
      </w:pPr>
      <w:r>
        <w:rPr>
          <w:b/>
          <w:i/>
        </w:rPr>
        <w:t>Observation 7: For FR1</w:t>
      </w:r>
      <w:r w:rsidRPr="008C7EAC">
        <w:t xml:space="preserve"> </w:t>
      </w:r>
      <w:r w:rsidRPr="008C7EAC">
        <w:rPr>
          <w:b/>
          <w:i/>
        </w:rPr>
        <w:t>intra-band non-contiguous UL CA</w:t>
      </w:r>
      <w:r>
        <w:rPr>
          <w:b/>
          <w:i/>
        </w:rPr>
        <w:t>, the single carrier MPR would be applied when only one component carrier is scheduled after configuration and activation (except for smaller RB allocation on that component carrier where larger MPR needs to be utilised instead).</w:t>
      </w:r>
    </w:p>
    <w:p w14:paraId="4E93E3F1" w14:textId="77777777" w:rsidR="00F77534" w:rsidRPr="003C7BB1" w:rsidRDefault="00F77534" w:rsidP="00F77534">
      <w:pPr>
        <w:jc w:val="both"/>
        <w:rPr>
          <w:b/>
          <w:i/>
        </w:rPr>
      </w:pPr>
      <w:r w:rsidRPr="003C7BB1">
        <w:rPr>
          <w:b/>
          <w:i/>
        </w:rPr>
        <w:lastRenderedPageBreak/>
        <w:t xml:space="preserve">Proposal 1: UE in a channel without any adjacent channels of different operators can be allowed not to meet the existing ACLR requirement, and further consider </w:t>
      </w:r>
    </w:p>
    <w:p w14:paraId="1A9C63FA" w14:textId="77777777" w:rsidR="00F77534" w:rsidRPr="003C7BB1" w:rsidRDefault="00F77534" w:rsidP="00F77534">
      <w:pPr>
        <w:pStyle w:val="aff6"/>
        <w:numPr>
          <w:ilvl w:val="0"/>
          <w:numId w:val="33"/>
        </w:numPr>
        <w:snapToGrid w:val="0"/>
        <w:ind w:firstLineChars="0"/>
        <w:rPr>
          <w:rFonts w:ascii="Times New Roman" w:hAnsi="Times New Roman"/>
          <w:b/>
          <w:i/>
          <w:kern w:val="0"/>
          <w:sz w:val="20"/>
          <w:szCs w:val="20"/>
          <w:lang w:val="en-GB" w:eastAsia="zh-CN"/>
        </w:rPr>
      </w:pPr>
      <w:r w:rsidRPr="003C7BB1">
        <w:rPr>
          <w:rFonts w:ascii="Times New Roman" w:hAnsi="Times New Roman"/>
          <w:b/>
          <w:i/>
          <w:kern w:val="0"/>
          <w:sz w:val="20"/>
          <w:szCs w:val="20"/>
          <w:lang w:val="en-GB" w:eastAsia="zh-CN"/>
        </w:rPr>
        <w:t>whether SEM can be relaxed</w:t>
      </w:r>
    </w:p>
    <w:p w14:paraId="7CB435F9" w14:textId="77777777" w:rsidR="00F77534" w:rsidRPr="003C7BB1" w:rsidRDefault="00F77534" w:rsidP="00F77534">
      <w:pPr>
        <w:pStyle w:val="aff6"/>
        <w:numPr>
          <w:ilvl w:val="0"/>
          <w:numId w:val="33"/>
        </w:numPr>
        <w:snapToGrid w:val="0"/>
        <w:ind w:firstLineChars="0"/>
        <w:rPr>
          <w:rFonts w:ascii="Times New Roman" w:hAnsi="Times New Roman"/>
          <w:b/>
          <w:i/>
          <w:kern w:val="0"/>
          <w:sz w:val="20"/>
          <w:szCs w:val="20"/>
          <w:lang w:val="en-GB" w:eastAsia="zh-CN"/>
        </w:rPr>
      </w:pPr>
      <w:r w:rsidRPr="003C7BB1">
        <w:rPr>
          <w:rFonts w:ascii="Times New Roman" w:hAnsi="Times New Roman"/>
          <w:b/>
          <w:i/>
          <w:kern w:val="0"/>
          <w:sz w:val="20"/>
          <w:szCs w:val="20"/>
          <w:lang w:val="en-GB" w:eastAsia="zh-CN"/>
        </w:rPr>
        <w:t>RSD for FDD band</w:t>
      </w:r>
    </w:p>
    <w:p w14:paraId="0EEA20F4" w14:textId="77777777" w:rsidR="003C3977" w:rsidRPr="000925C2" w:rsidRDefault="003C3977" w:rsidP="003C3977">
      <w:pPr>
        <w:snapToGrid w:val="0"/>
        <w:spacing w:after="0"/>
        <w:jc w:val="both"/>
        <w:rPr>
          <w:b/>
          <w:i/>
        </w:rPr>
      </w:pPr>
      <w:r w:rsidRPr="000925C2">
        <w:rPr>
          <w:b/>
          <w:i/>
        </w:rPr>
        <w:t xml:space="preserve">Proposal 2: For the scenario: UE CBW=BS CBW, several UE indicted by BS in a channel with adjacent channels may be allowed to meet relaxed ACLR requirement, which the feasibility need to be </w:t>
      </w:r>
      <w:r w:rsidRPr="000925C2">
        <w:rPr>
          <w:rFonts w:hint="eastAsia"/>
          <w:b/>
          <w:i/>
        </w:rPr>
        <w:t>further</w:t>
      </w:r>
      <w:r w:rsidRPr="000925C2">
        <w:rPr>
          <w:b/>
          <w:i/>
        </w:rPr>
        <w:t xml:space="preserve"> evaluated:</w:t>
      </w:r>
    </w:p>
    <w:p w14:paraId="46FEF74C" w14:textId="77777777" w:rsidR="003C3977" w:rsidRPr="000925C2" w:rsidRDefault="003C3977" w:rsidP="003C3977">
      <w:pPr>
        <w:numPr>
          <w:ilvl w:val="0"/>
          <w:numId w:val="28"/>
        </w:numPr>
        <w:snapToGrid w:val="0"/>
        <w:spacing w:after="0"/>
        <w:jc w:val="both"/>
        <w:rPr>
          <w:b/>
          <w:i/>
        </w:rPr>
      </w:pPr>
      <w:r w:rsidRPr="000925C2">
        <w:rPr>
          <w:b/>
          <w:i/>
        </w:rPr>
        <w:t>Two deployments including the same site or different sites.</w:t>
      </w:r>
    </w:p>
    <w:p w14:paraId="27CBFBA8" w14:textId="140C9274" w:rsidR="003C3977" w:rsidRPr="003C3977" w:rsidRDefault="003C3977" w:rsidP="003C3977">
      <w:pPr>
        <w:numPr>
          <w:ilvl w:val="0"/>
          <w:numId w:val="28"/>
        </w:numPr>
        <w:snapToGrid w:val="0"/>
        <w:spacing w:after="0"/>
        <w:jc w:val="both"/>
        <w:rPr>
          <w:b/>
          <w:i/>
        </w:rPr>
      </w:pPr>
      <w:r w:rsidRPr="000925C2">
        <w:rPr>
          <w:b/>
          <w:i/>
        </w:rPr>
        <w:t>Whether SEM can be relaxed</w:t>
      </w:r>
    </w:p>
    <w:p w14:paraId="578214D3" w14:textId="77777777" w:rsidR="003C3977" w:rsidRPr="000925C2" w:rsidRDefault="003C3977" w:rsidP="003C3977">
      <w:pPr>
        <w:snapToGrid w:val="0"/>
        <w:spacing w:after="0"/>
        <w:jc w:val="both"/>
        <w:rPr>
          <w:b/>
          <w:i/>
        </w:rPr>
      </w:pPr>
      <w:r w:rsidRPr="000925C2">
        <w:rPr>
          <w:b/>
          <w:i/>
        </w:rPr>
        <w:t xml:space="preserve">Proposal 3: For the scenario: UE CBW&lt;BS CBW and the frequency offset between the edge of UE CBW and the edge of BS CBW is wider than or equal to UE CBW, UE in a channel with adjacent channels of different operators can be allowed not to meet the existing ACLR requirement, and further consider </w:t>
      </w:r>
    </w:p>
    <w:p w14:paraId="3465D6B8" w14:textId="77777777" w:rsidR="003C3977" w:rsidRPr="000925C2" w:rsidRDefault="003C3977" w:rsidP="003C3977">
      <w:pPr>
        <w:pStyle w:val="aff6"/>
        <w:numPr>
          <w:ilvl w:val="0"/>
          <w:numId w:val="34"/>
        </w:numPr>
        <w:snapToGrid w:val="0"/>
        <w:ind w:firstLineChars="0"/>
        <w:rPr>
          <w:rFonts w:ascii="Times New Roman" w:hAnsi="Times New Roman"/>
          <w:b/>
          <w:i/>
          <w:kern w:val="0"/>
          <w:sz w:val="20"/>
          <w:szCs w:val="20"/>
          <w:lang w:val="en-GB" w:eastAsia="zh-CN"/>
        </w:rPr>
      </w:pPr>
      <w:r w:rsidRPr="000925C2">
        <w:rPr>
          <w:rFonts w:ascii="Times New Roman" w:hAnsi="Times New Roman"/>
          <w:b/>
          <w:i/>
          <w:kern w:val="0"/>
          <w:sz w:val="20"/>
          <w:szCs w:val="20"/>
          <w:lang w:val="en-GB" w:eastAsia="zh-CN"/>
        </w:rPr>
        <w:t>whether SEM can be relaxed</w:t>
      </w:r>
    </w:p>
    <w:p w14:paraId="72255788" w14:textId="49F30737" w:rsidR="003C3977" w:rsidRPr="003C3977" w:rsidRDefault="003C3977" w:rsidP="003C3977">
      <w:pPr>
        <w:pStyle w:val="aff6"/>
        <w:numPr>
          <w:ilvl w:val="0"/>
          <w:numId w:val="34"/>
        </w:numPr>
        <w:snapToGrid w:val="0"/>
        <w:ind w:firstLineChars="0"/>
        <w:rPr>
          <w:rFonts w:ascii="Times New Roman" w:hAnsi="Times New Roman"/>
          <w:b/>
          <w:i/>
          <w:kern w:val="0"/>
          <w:sz w:val="20"/>
          <w:szCs w:val="20"/>
          <w:lang w:val="en-GB" w:eastAsia="zh-CN"/>
        </w:rPr>
      </w:pPr>
      <w:r w:rsidRPr="000925C2">
        <w:rPr>
          <w:rFonts w:ascii="Times New Roman" w:hAnsi="Times New Roman" w:hint="eastAsia"/>
          <w:b/>
          <w:i/>
          <w:kern w:val="0"/>
          <w:sz w:val="20"/>
          <w:szCs w:val="20"/>
          <w:lang w:val="en-GB" w:eastAsia="zh-CN"/>
        </w:rPr>
        <w:t>R</w:t>
      </w:r>
      <w:r w:rsidRPr="000925C2">
        <w:rPr>
          <w:rFonts w:ascii="Times New Roman" w:hAnsi="Times New Roman"/>
          <w:b/>
          <w:i/>
          <w:kern w:val="0"/>
          <w:sz w:val="20"/>
          <w:szCs w:val="20"/>
          <w:lang w:val="en-GB" w:eastAsia="zh-CN"/>
        </w:rPr>
        <w:t>SD for FDD band</w:t>
      </w:r>
    </w:p>
    <w:p w14:paraId="1D9C0108" w14:textId="77777777" w:rsidR="003C3977" w:rsidRPr="000925C2" w:rsidRDefault="003C3977" w:rsidP="003C3977">
      <w:pPr>
        <w:snapToGrid w:val="0"/>
        <w:spacing w:after="0"/>
        <w:jc w:val="both"/>
        <w:rPr>
          <w:b/>
          <w:i/>
        </w:rPr>
      </w:pPr>
      <w:r w:rsidRPr="000925C2">
        <w:rPr>
          <w:b/>
          <w:i/>
          <w:szCs w:val="24"/>
        </w:rPr>
        <w:t>Proposal 4</w:t>
      </w:r>
      <w:r w:rsidRPr="000925C2">
        <w:rPr>
          <w:b/>
          <w:i/>
        </w:rPr>
        <w:t xml:space="preserve">: For the scenario: UE CBW&lt;BS CBW and the frequency offset between the edge of UE CBW and the edge of BS CBW is narrower than UE CBW, UE in a channel with adjacent channels of different operators may be allowed to meet relaxed ACLR requirement, which the feasibility need to be </w:t>
      </w:r>
      <w:r w:rsidRPr="000925C2">
        <w:rPr>
          <w:rFonts w:hint="eastAsia"/>
          <w:b/>
          <w:i/>
        </w:rPr>
        <w:t>further</w:t>
      </w:r>
      <w:r w:rsidRPr="000925C2">
        <w:rPr>
          <w:b/>
          <w:i/>
        </w:rPr>
        <w:t xml:space="preserve"> evaluated.</w:t>
      </w:r>
    </w:p>
    <w:p w14:paraId="04E056DE" w14:textId="77777777" w:rsidR="003C3977" w:rsidRPr="000925C2" w:rsidRDefault="003C3977" w:rsidP="003C3977">
      <w:pPr>
        <w:numPr>
          <w:ilvl w:val="0"/>
          <w:numId w:val="28"/>
        </w:numPr>
        <w:snapToGrid w:val="0"/>
        <w:spacing w:after="0"/>
        <w:jc w:val="both"/>
        <w:rPr>
          <w:b/>
          <w:i/>
        </w:rPr>
      </w:pPr>
      <w:r w:rsidRPr="000925C2">
        <w:rPr>
          <w:b/>
          <w:i/>
        </w:rPr>
        <w:t>Two deployments including the same site or different sites</w:t>
      </w:r>
    </w:p>
    <w:p w14:paraId="2D7136A6" w14:textId="77777777" w:rsidR="003C3977" w:rsidRPr="00D642C5" w:rsidRDefault="003C3977" w:rsidP="003C3977">
      <w:pPr>
        <w:numPr>
          <w:ilvl w:val="0"/>
          <w:numId w:val="28"/>
        </w:numPr>
        <w:snapToGrid w:val="0"/>
        <w:spacing w:after="0"/>
        <w:jc w:val="both"/>
        <w:rPr>
          <w:b/>
        </w:rPr>
      </w:pPr>
      <w:r w:rsidRPr="000925C2">
        <w:rPr>
          <w:b/>
          <w:i/>
        </w:rPr>
        <w:t>Whether SEM can be relaxed</w:t>
      </w:r>
    </w:p>
    <w:p w14:paraId="0344C583" w14:textId="77777777" w:rsidR="0063760F" w:rsidRPr="00C44AB9" w:rsidRDefault="0063760F" w:rsidP="0063760F">
      <w:pPr>
        <w:snapToGrid w:val="0"/>
        <w:spacing w:after="0"/>
        <w:jc w:val="both"/>
        <w:rPr>
          <w:b/>
          <w:i/>
        </w:rPr>
      </w:pPr>
      <w:r w:rsidRPr="00C44AB9">
        <w:rPr>
          <w:b/>
          <w:i/>
          <w:szCs w:val="24"/>
        </w:rPr>
        <w:t>Proposal 5</w:t>
      </w:r>
      <w:r w:rsidRPr="00C44AB9">
        <w:rPr>
          <w:b/>
          <w:i/>
        </w:rPr>
        <w:t xml:space="preserve">: For the scenario: UE CBW&lt;BS CBW, UE in a channel with adjacent channels of different operators may be allowed to meet relaxed ACLR requirement, which the feasibility need to be </w:t>
      </w:r>
      <w:r w:rsidRPr="00C44AB9">
        <w:rPr>
          <w:rFonts w:hint="eastAsia"/>
          <w:b/>
          <w:i/>
        </w:rPr>
        <w:t>further</w:t>
      </w:r>
      <w:r w:rsidRPr="00C44AB9">
        <w:rPr>
          <w:b/>
          <w:i/>
        </w:rPr>
        <w:t xml:space="preserve"> evaluated.</w:t>
      </w:r>
    </w:p>
    <w:p w14:paraId="0059E373" w14:textId="77777777" w:rsidR="0063760F" w:rsidRPr="00C44AB9" w:rsidRDefault="0063760F" w:rsidP="0063760F">
      <w:pPr>
        <w:numPr>
          <w:ilvl w:val="0"/>
          <w:numId w:val="28"/>
        </w:numPr>
        <w:snapToGrid w:val="0"/>
        <w:spacing w:after="0"/>
        <w:jc w:val="both"/>
        <w:rPr>
          <w:b/>
          <w:i/>
        </w:rPr>
      </w:pPr>
      <w:r w:rsidRPr="00C44AB9">
        <w:rPr>
          <w:b/>
          <w:i/>
        </w:rPr>
        <w:t>Two deployments including the same site or different sites.</w:t>
      </w:r>
    </w:p>
    <w:p w14:paraId="462E0260" w14:textId="2E12136A" w:rsidR="0063760F" w:rsidRPr="0063760F" w:rsidRDefault="0063760F" w:rsidP="0063760F">
      <w:pPr>
        <w:numPr>
          <w:ilvl w:val="0"/>
          <w:numId w:val="28"/>
        </w:numPr>
        <w:snapToGrid w:val="0"/>
        <w:spacing w:after="0"/>
        <w:jc w:val="both"/>
        <w:rPr>
          <w:b/>
        </w:rPr>
      </w:pPr>
      <w:r w:rsidRPr="00C44AB9">
        <w:rPr>
          <w:b/>
          <w:i/>
        </w:rPr>
        <w:t>Whether SEM can be relaxed.</w:t>
      </w:r>
    </w:p>
    <w:p w14:paraId="6E1DECF9" w14:textId="77777777" w:rsidR="0063760F" w:rsidRPr="00C44AB9" w:rsidRDefault="0063760F" w:rsidP="0063760F">
      <w:pPr>
        <w:snapToGrid w:val="0"/>
        <w:spacing w:after="0"/>
        <w:jc w:val="both"/>
        <w:rPr>
          <w:b/>
          <w:i/>
        </w:rPr>
      </w:pPr>
      <w:r w:rsidRPr="00C44AB9">
        <w:rPr>
          <w:b/>
          <w:i/>
          <w:szCs w:val="24"/>
        </w:rPr>
        <w:t>Proposal 6</w:t>
      </w:r>
      <w:r w:rsidRPr="00C44AB9">
        <w:rPr>
          <w:b/>
          <w:i/>
        </w:rPr>
        <w:t>: BWP-based ACLR/SEM/Spurious emission requirements should be excluded from WID.</w:t>
      </w:r>
    </w:p>
    <w:p w14:paraId="65747EB1" w14:textId="77777777" w:rsidR="00B134BC" w:rsidRDefault="00B134BC" w:rsidP="00B134BC">
      <w:pPr>
        <w:jc w:val="both"/>
      </w:pPr>
      <w:r>
        <w:rPr>
          <w:b/>
          <w:i/>
        </w:rPr>
        <w:t xml:space="preserve">Proposal 7: For the MPR applicability study for </w:t>
      </w:r>
      <w:r w:rsidRPr="00D97CDF">
        <w:rPr>
          <w:b/>
          <w:i/>
        </w:rPr>
        <w:t>FR1 intra-band contiguous UL CA</w:t>
      </w:r>
      <w:r>
        <w:rPr>
          <w:b/>
          <w:i/>
        </w:rPr>
        <w:t xml:space="preserve">, the terminology </w:t>
      </w:r>
      <w:r w:rsidRPr="00B1244C">
        <w:rPr>
          <w:b/>
          <w:i/>
        </w:rPr>
        <w:t xml:space="preserve">“activation/deactivation” should be interpreted as </w:t>
      </w:r>
      <w:r>
        <w:rPr>
          <w:b/>
          <w:i/>
        </w:rPr>
        <w:t>the e</w:t>
      </w:r>
      <w:r w:rsidRPr="00E4681A">
        <w:rPr>
          <w:b/>
          <w:i/>
        </w:rPr>
        <w:t>xisting MAC CE based serving cell activation/deactivation</w:t>
      </w:r>
      <w:r>
        <w:rPr>
          <w:b/>
          <w:i/>
        </w:rPr>
        <w:t xml:space="preserve"> mechanism. </w:t>
      </w:r>
      <w:r>
        <w:t xml:space="preserve">  </w:t>
      </w:r>
    </w:p>
    <w:p w14:paraId="412D3AF8" w14:textId="77777777" w:rsidR="00B134BC" w:rsidRPr="00F23827" w:rsidRDefault="00B134BC" w:rsidP="00B134BC">
      <w:pPr>
        <w:jc w:val="both"/>
        <w:rPr>
          <w:b/>
          <w:i/>
        </w:rPr>
      </w:pPr>
      <w:r>
        <w:rPr>
          <w:b/>
          <w:i/>
        </w:rPr>
        <w:t xml:space="preserve">Proposal 8: </w:t>
      </w:r>
      <w:r w:rsidRPr="0082146D">
        <w:rPr>
          <w:b/>
          <w:i/>
        </w:rPr>
        <w:t xml:space="preserve">Since the WID objective is to specify MPR applicability, the </w:t>
      </w:r>
      <w:r>
        <w:rPr>
          <w:b/>
          <w:i/>
        </w:rPr>
        <w:t>power class</w:t>
      </w:r>
      <w:r w:rsidRPr="0082146D">
        <w:rPr>
          <w:b/>
          <w:i/>
        </w:rPr>
        <w:t xml:space="preserve"> should remain the same as the CA </w:t>
      </w:r>
      <w:r>
        <w:rPr>
          <w:b/>
          <w:i/>
        </w:rPr>
        <w:t>power class</w:t>
      </w:r>
      <w:r w:rsidRPr="0082146D">
        <w:rPr>
          <w:b/>
          <w:i/>
        </w:rPr>
        <w:t xml:space="preserve"> when activated cell number is changed</w:t>
      </w:r>
      <w:r>
        <w:rPr>
          <w:b/>
          <w:i/>
        </w:rPr>
        <w:t>.</w:t>
      </w:r>
    </w:p>
    <w:p w14:paraId="7F3C20CB" w14:textId="77777777" w:rsidR="00B134BC" w:rsidRDefault="00B134BC" w:rsidP="00B134BC">
      <w:pPr>
        <w:pStyle w:val="aff6"/>
        <w:numPr>
          <w:ilvl w:val="0"/>
          <w:numId w:val="24"/>
        </w:numPr>
        <w:ind w:firstLineChars="0"/>
      </w:pPr>
      <w:r w:rsidRPr="00F23827">
        <w:rPr>
          <w:rFonts w:ascii="Times New Roman" w:hAnsi="Times New Roman"/>
          <w:b/>
          <w:i/>
          <w:kern w:val="0"/>
          <w:sz w:val="20"/>
          <w:szCs w:val="20"/>
          <w:lang w:val="en-GB" w:eastAsia="zh-CN"/>
        </w:rPr>
        <w:t xml:space="preserve">For example, if a UE indicates PC1.5 for band n78 and PC2 for n78C, the intention is to study whether PC2 MPR for single band operation can be applied assuming </w:t>
      </w:r>
      <w:r>
        <w:rPr>
          <w:rFonts w:ascii="Times New Roman" w:hAnsi="Times New Roman"/>
          <w:b/>
          <w:i/>
          <w:kern w:val="0"/>
          <w:sz w:val="20"/>
          <w:szCs w:val="20"/>
          <w:lang w:val="en-GB" w:eastAsia="zh-CN"/>
        </w:rPr>
        <w:t>power class</w:t>
      </w:r>
      <w:r w:rsidRPr="00F23827">
        <w:rPr>
          <w:rFonts w:ascii="Times New Roman" w:hAnsi="Times New Roman"/>
          <w:b/>
          <w:i/>
          <w:kern w:val="0"/>
          <w:sz w:val="20"/>
          <w:szCs w:val="20"/>
          <w:lang w:val="en-GB" w:eastAsia="zh-CN"/>
        </w:rPr>
        <w:t xml:space="preserve"> would still be PC2 instead of PC1.5 when only PCell is activated.</w:t>
      </w:r>
    </w:p>
    <w:p w14:paraId="5C564096" w14:textId="77777777" w:rsidR="006E5297" w:rsidRDefault="006E5297" w:rsidP="006E5297">
      <w:pPr>
        <w:jc w:val="both"/>
        <w:rPr>
          <w:b/>
          <w:i/>
        </w:rPr>
      </w:pPr>
      <w:r>
        <w:rPr>
          <w:b/>
          <w:i/>
        </w:rPr>
        <w:t xml:space="preserve">Proposal 9: </w:t>
      </w:r>
      <w:r>
        <w:rPr>
          <w:rFonts w:hint="eastAsia"/>
          <w:b/>
          <w:i/>
        </w:rPr>
        <w:t>I</w:t>
      </w:r>
      <w:r>
        <w:rPr>
          <w:b/>
          <w:i/>
        </w:rPr>
        <w:t>n Rel-19, the applicable MPR for FR1</w:t>
      </w:r>
      <w:r w:rsidRPr="008C7EAC">
        <w:t xml:space="preserve"> </w:t>
      </w:r>
      <w:r w:rsidRPr="008C7EAC">
        <w:rPr>
          <w:b/>
          <w:i/>
        </w:rPr>
        <w:t>intra-band non-contiguous UL CA</w:t>
      </w:r>
      <w:r>
        <w:rPr>
          <w:b/>
          <w:i/>
        </w:rPr>
        <w:t xml:space="preserve"> doesn’t need further enhancement.</w:t>
      </w:r>
    </w:p>
    <w:p w14:paraId="124B34C5" w14:textId="77777777" w:rsidR="00F84282" w:rsidRPr="00B1244C" w:rsidRDefault="00F84282" w:rsidP="00F84282">
      <w:r>
        <w:rPr>
          <w:b/>
          <w:i/>
        </w:rPr>
        <w:t>Proposal 10: For FR2, check if only PC3 UE will be considered for Rel-19 study.</w:t>
      </w:r>
    </w:p>
    <w:p w14:paraId="620D481F" w14:textId="77777777" w:rsidR="009F33D0" w:rsidRDefault="009F33D0" w:rsidP="009F33D0">
      <w:pPr>
        <w:jc w:val="both"/>
        <w:rPr>
          <w:b/>
          <w:i/>
        </w:rPr>
      </w:pPr>
      <w:r>
        <w:rPr>
          <w:b/>
          <w:i/>
        </w:rPr>
        <w:t>Proposal 11: For</w:t>
      </w:r>
      <w:r w:rsidRPr="008F400D">
        <w:rPr>
          <w:b/>
          <w:i/>
        </w:rPr>
        <w:t xml:space="preserve"> </w:t>
      </w:r>
      <w:r>
        <w:rPr>
          <w:b/>
          <w:i/>
        </w:rPr>
        <w:t xml:space="preserve">FR2 </w:t>
      </w:r>
      <w:r w:rsidRPr="008F400D">
        <w:rPr>
          <w:b/>
          <w:i/>
        </w:rPr>
        <w:t>intra-band UL contiguous CA and intra-band DL contiguous CA with single UL</w:t>
      </w:r>
    </w:p>
    <w:p w14:paraId="3294CA05" w14:textId="77777777" w:rsidR="009F33D0" w:rsidRDefault="009F33D0" w:rsidP="009F33D0">
      <w:pPr>
        <w:pStyle w:val="aff6"/>
        <w:numPr>
          <w:ilvl w:val="0"/>
          <w:numId w:val="24"/>
        </w:numPr>
        <w:ind w:firstLineChars="0"/>
        <w:rPr>
          <w:b/>
          <w:i/>
        </w:rPr>
      </w:pPr>
      <w:r>
        <w:rPr>
          <w:rFonts w:ascii="Times New Roman" w:hAnsi="Times New Roman"/>
          <w:b/>
          <w:i/>
          <w:kern w:val="0"/>
          <w:sz w:val="20"/>
          <w:szCs w:val="20"/>
          <w:lang w:val="en-GB" w:eastAsia="zh-CN"/>
        </w:rPr>
        <w:t>MPR applicability and/or potential reduction can be considered</w:t>
      </w:r>
    </w:p>
    <w:p w14:paraId="1116E5DB" w14:textId="77777777" w:rsidR="009F33D0" w:rsidRDefault="009F33D0" w:rsidP="009F33D0">
      <w:pPr>
        <w:pStyle w:val="aff6"/>
        <w:numPr>
          <w:ilvl w:val="0"/>
          <w:numId w:val="24"/>
        </w:numPr>
        <w:ind w:firstLineChars="0"/>
        <w:rPr>
          <w:b/>
          <w:i/>
        </w:rPr>
      </w:pPr>
      <w:r>
        <w:rPr>
          <w:rFonts w:ascii="Times New Roman" w:hAnsi="Times New Roman"/>
          <w:b/>
          <w:i/>
          <w:kern w:val="0"/>
          <w:sz w:val="20"/>
          <w:szCs w:val="20"/>
          <w:lang w:val="en-GB" w:eastAsia="zh-CN"/>
        </w:rPr>
        <w:t xml:space="preserve">Both simulation and measurement should be considered </w:t>
      </w:r>
      <w:r w:rsidRPr="00B1244C">
        <w:rPr>
          <w:rFonts w:ascii="Times New Roman" w:hAnsi="Times New Roman"/>
          <w:b/>
          <w:i/>
          <w:kern w:val="0"/>
          <w:sz w:val="20"/>
          <w:szCs w:val="20"/>
          <w:lang w:val="en-GB" w:eastAsia="zh-CN"/>
        </w:rPr>
        <w:t xml:space="preserve"> </w:t>
      </w:r>
    </w:p>
    <w:p w14:paraId="367CB356" w14:textId="77777777" w:rsidR="009F33D0" w:rsidRPr="00B1244C" w:rsidRDefault="009F33D0" w:rsidP="009F33D0">
      <w:pPr>
        <w:pStyle w:val="aff6"/>
        <w:numPr>
          <w:ilvl w:val="0"/>
          <w:numId w:val="24"/>
        </w:numPr>
        <w:ind w:firstLineChars="0"/>
        <w:rPr>
          <w:b/>
          <w:i/>
        </w:rPr>
      </w:pPr>
      <w:r>
        <w:rPr>
          <w:rFonts w:ascii="Times New Roman" w:hAnsi="Times New Roman"/>
          <w:b/>
          <w:i/>
          <w:kern w:val="0"/>
          <w:sz w:val="20"/>
          <w:szCs w:val="20"/>
          <w:lang w:val="en-GB" w:eastAsia="zh-CN"/>
        </w:rPr>
        <w:t>C</w:t>
      </w:r>
      <w:r w:rsidRPr="00B1244C">
        <w:rPr>
          <w:rFonts w:ascii="Times New Roman" w:hAnsi="Times New Roman"/>
          <w:b/>
          <w:i/>
          <w:kern w:val="0"/>
          <w:sz w:val="20"/>
          <w:szCs w:val="20"/>
          <w:lang w:val="en-GB" w:eastAsia="zh-CN"/>
        </w:rPr>
        <w:t>ommon Rx/Tx LO architecture</w:t>
      </w:r>
      <w:r>
        <w:rPr>
          <w:rFonts w:ascii="Times New Roman" w:hAnsi="Times New Roman"/>
          <w:b/>
          <w:i/>
          <w:kern w:val="0"/>
          <w:sz w:val="20"/>
          <w:szCs w:val="20"/>
          <w:lang w:val="en-GB" w:eastAsia="zh-CN"/>
        </w:rPr>
        <w:t xml:space="preserve"> should not be precluded as architecture assumption</w:t>
      </w:r>
      <w:r w:rsidRPr="00B1244C">
        <w:rPr>
          <w:rFonts w:ascii="Times New Roman" w:hAnsi="Times New Roman"/>
          <w:b/>
          <w:i/>
          <w:kern w:val="0"/>
          <w:sz w:val="20"/>
          <w:szCs w:val="20"/>
          <w:lang w:val="en-GB" w:eastAsia="zh-CN"/>
        </w:rPr>
        <w:t xml:space="preserve">  </w:t>
      </w:r>
    </w:p>
    <w:p w14:paraId="1748B247" w14:textId="77777777" w:rsidR="00634BA2" w:rsidRDefault="00634BA2" w:rsidP="008B1EB9">
      <w:pPr>
        <w:jc w:val="both"/>
      </w:pPr>
    </w:p>
    <w:p w14:paraId="6E4DEA30" w14:textId="77777777" w:rsidR="00B22DA6" w:rsidRDefault="00B22DA6" w:rsidP="00B22DA6">
      <w:pPr>
        <w:pStyle w:val="1"/>
        <w:numPr>
          <w:ilvl w:val="0"/>
          <w:numId w:val="0"/>
        </w:numPr>
        <w:rPr>
          <w:rFonts w:eastAsia="宋体"/>
          <w:lang w:eastAsia="zh-CN"/>
        </w:rPr>
      </w:pPr>
      <w:r>
        <w:t>References</w:t>
      </w:r>
    </w:p>
    <w:p w14:paraId="3012C609" w14:textId="2F5C1DF3" w:rsidR="00AD4268" w:rsidRPr="00344F58" w:rsidRDefault="00621DB7" w:rsidP="00344F58">
      <w:pPr>
        <w:numPr>
          <w:ilvl w:val="0"/>
          <w:numId w:val="10"/>
        </w:numPr>
        <w:tabs>
          <w:tab w:val="clear" w:pos="720"/>
          <w:tab w:val="num" w:pos="426"/>
        </w:tabs>
        <w:overflowPunct/>
        <w:autoSpaceDE/>
        <w:autoSpaceDN/>
        <w:adjustRightInd/>
        <w:ind w:left="426" w:hanging="426"/>
        <w:textAlignment w:val="auto"/>
        <w:rPr>
          <w:lang w:val="it-IT" w:eastAsia="ja-JP"/>
        </w:rPr>
      </w:pPr>
      <w:r>
        <w:t xml:space="preserve">RP-240828, </w:t>
      </w:r>
      <w:r w:rsidRPr="001D14BB">
        <w:t>“</w:t>
      </w:r>
      <w:r w:rsidRPr="001D14BB">
        <w:rPr>
          <w:lang w:eastAsia="ja-JP"/>
        </w:rPr>
        <w:t>New WID: UE RF enhancements for NR FR1 and FR2, Phase 4</w:t>
      </w:r>
      <w:r w:rsidRPr="001D14BB">
        <w:t>”, RAN4 chair (Huawei), 3GPP TSG-RAN Meeting #103, Maastricht, Netherlands, March 18-21, 2024</w:t>
      </w:r>
      <w:r w:rsidR="0058394E">
        <w:t>.</w:t>
      </w:r>
    </w:p>
    <w:sectPr w:rsidR="00AD4268" w:rsidRPr="00344F58" w:rsidSect="00AD2E43">
      <w:footerReference w:type="default" r:id="rId11"/>
      <w:footnotePr>
        <w:numRestart w:val="eachSect"/>
      </w:footnotePr>
      <w:pgSz w:w="11907" w:h="16840" w:code="9"/>
      <w:pgMar w:top="1416" w:right="1133" w:bottom="1133" w:left="1133" w:header="850" w:footer="34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B04A3DE" w16cid:durableId="29BDA757"/>
  <w16cid:commentId w16cid:paraId="0C23860D" w16cid:durableId="29BDA758"/>
  <w16cid:commentId w16cid:paraId="6CD84833" w16cid:durableId="29BDA759"/>
  <w16cid:commentId w16cid:paraId="7B2BAA09" w16cid:durableId="29BE819F"/>
  <w16cid:commentId w16cid:paraId="552704EB" w16cid:durableId="29BE81A0"/>
  <w16cid:commentId w16cid:paraId="64B310D3" w16cid:durableId="29BDA75A"/>
  <w16cid:commentId w16cid:paraId="66419C1A" w16cid:durableId="29BDA75B"/>
  <w16cid:commentId w16cid:paraId="7A8844BD" w16cid:durableId="29BDA75C"/>
  <w16cid:commentId w16cid:paraId="1A6E200C" w16cid:durableId="29BDA75D"/>
  <w16cid:commentId w16cid:paraId="75705F11" w16cid:durableId="29BDA75E"/>
  <w16cid:commentId w16cid:paraId="33FE0B8B" w16cid:durableId="29BDA75F"/>
  <w16cid:commentId w16cid:paraId="6A51EBC5" w16cid:durableId="29BDA760"/>
  <w16cid:commentId w16cid:paraId="72EFE88E" w16cid:durableId="29BDA761"/>
  <w16cid:commentId w16cid:paraId="20FDFB8C" w16cid:durableId="29BDA762"/>
  <w16cid:commentId w16cid:paraId="1306E5AC" w16cid:durableId="29BDA763"/>
  <w16cid:commentId w16cid:paraId="46BD34EE" w16cid:durableId="29BDA764"/>
  <w16cid:commentId w16cid:paraId="7229A942" w16cid:durableId="29BDA76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C444B2" w14:textId="77777777" w:rsidR="00AB5538" w:rsidRDefault="00AB5538" w:rsidP="0052762B">
      <w:r>
        <w:separator/>
      </w:r>
    </w:p>
  </w:endnote>
  <w:endnote w:type="continuationSeparator" w:id="0">
    <w:p w14:paraId="2E56A565" w14:textId="77777777" w:rsidR="00AB5538" w:rsidRDefault="00AB5538"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Gothic"/>
    <w:charset w:val="80"/>
    <w:family w:val="swiss"/>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6ABC" w14:textId="77777777" w:rsidR="004E1823" w:rsidRDefault="004E1823">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696D1E" w14:textId="77777777" w:rsidR="00AB5538" w:rsidRDefault="00AB5538" w:rsidP="0052762B">
      <w:r>
        <w:separator/>
      </w:r>
    </w:p>
  </w:footnote>
  <w:footnote w:type="continuationSeparator" w:id="0">
    <w:p w14:paraId="09EBE934" w14:textId="77777777" w:rsidR="00AB5538" w:rsidRDefault="00AB5538"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7423AE"/>
    <w:multiLevelType w:val="hybridMultilevel"/>
    <w:tmpl w:val="E760EA4C"/>
    <w:lvl w:ilvl="0" w:tplc="41502510">
      <w:start w:val="1"/>
      <w:numFmt w:val="bullet"/>
      <w:lvlText w:val=""/>
      <w:lvlJc w:val="left"/>
      <w:pPr>
        <w:ind w:left="1212" w:hanging="360"/>
      </w:pPr>
      <w:rPr>
        <w:rFonts w:ascii="Wingdings" w:hAnsi="Wingding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 w15:restartNumberingAfterBreak="0">
    <w:nsid w:val="079F0E2A"/>
    <w:multiLevelType w:val="hybridMultilevel"/>
    <w:tmpl w:val="A0FA13D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76720F"/>
    <w:multiLevelType w:val="hybridMultilevel"/>
    <w:tmpl w:val="F0FC9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CB152A"/>
    <w:multiLevelType w:val="hybridMultilevel"/>
    <w:tmpl w:val="22F8E0EA"/>
    <w:lvl w:ilvl="0" w:tplc="04090019">
      <w:start w:val="1"/>
      <w:numFmt w:val="lowerLetter"/>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CA5EF1"/>
    <w:multiLevelType w:val="hybridMultilevel"/>
    <w:tmpl w:val="2EB0700A"/>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827F86"/>
    <w:multiLevelType w:val="hybridMultilevel"/>
    <w:tmpl w:val="FAB22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89836C4"/>
    <w:multiLevelType w:val="hybridMultilevel"/>
    <w:tmpl w:val="76809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5177F9"/>
    <w:multiLevelType w:val="hybridMultilevel"/>
    <w:tmpl w:val="65EEED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5A270E"/>
    <w:multiLevelType w:val="multilevel"/>
    <w:tmpl w:val="60807D3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AD471C6"/>
    <w:multiLevelType w:val="hybridMultilevel"/>
    <w:tmpl w:val="87C414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2A24B9"/>
    <w:multiLevelType w:val="hybridMultilevel"/>
    <w:tmpl w:val="E0720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E206D48"/>
    <w:multiLevelType w:val="hybridMultilevel"/>
    <w:tmpl w:val="5F524666"/>
    <w:lvl w:ilvl="0" w:tplc="C25A77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6C1664F"/>
    <w:multiLevelType w:val="hybridMultilevel"/>
    <w:tmpl w:val="72DA71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604B71"/>
    <w:multiLevelType w:val="hybridMultilevel"/>
    <w:tmpl w:val="462688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846F12"/>
    <w:multiLevelType w:val="hybridMultilevel"/>
    <w:tmpl w:val="ADE47E46"/>
    <w:lvl w:ilvl="0" w:tplc="C25A773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6A3FE4"/>
    <w:multiLevelType w:val="hybridMultilevel"/>
    <w:tmpl w:val="ECFE7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F20125"/>
    <w:multiLevelType w:val="hybridMultilevel"/>
    <w:tmpl w:val="FCB0B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583648E"/>
    <w:multiLevelType w:val="hybridMultilevel"/>
    <w:tmpl w:val="EA22B6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FD23C0"/>
    <w:multiLevelType w:val="hybridMultilevel"/>
    <w:tmpl w:val="FEB04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542F86"/>
    <w:multiLevelType w:val="hybridMultilevel"/>
    <w:tmpl w:val="A65E08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6FF37ECB"/>
    <w:multiLevelType w:val="hybridMultilevel"/>
    <w:tmpl w:val="20164C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1E2476F"/>
    <w:multiLevelType w:val="hybridMultilevel"/>
    <w:tmpl w:val="9F18E770"/>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6F72D39"/>
    <w:multiLevelType w:val="hybridMultilevel"/>
    <w:tmpl w:val="48C884F2"/>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9"/>
  </w:num>
  <w:num w:numId="3">
    <w:abstractNumId w:val="22"/>
  </w:num>
  <w:num w:numId="4">
    <w:abstractNumId w:val="30"/>
  </w:num>
  <w:num w:numId="5">
    <w:abstractNumId w:val="29"/>
  </w:num>
  <w:num w:numId="6">
    <w:abstractNumId w:val="18"/>
  </w:num>
  <w:num w:numId="7">
    <w:abstractNumId w:val="26"/>
  </w:num>
  <w:num w:numId="8">
    <w:abstractNumId w:val="35"/>
  </w:num>
  <w:num w:numId="9">
    <w:abstractNumId w:val="15"/>
  </w:num>
  <w:num w:numId="10">
    <w:abstractNumId w:val="33"/>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20"/>
  </w:num>
  <w:num w:numId="14">
    <w:abstractNumId w:val="27"/>
  </w:num>
  <w:num w:numId="15">
    <w:abstractNumId w:val="3"/>
  </w:num>
  <w:num w:numId="16">
    <w:abstractNumId w:val="21"/>
  </w:num>
  <w:num w:numId="17">
    <w:abstractNumId w:val="16"/>
  </w:num>
  <w:num w:numId="18">
    <w:abstractNumId w:val="5"/>
  </w:num>
  <w:num w:numId="19">
    <w:abstractNumId w:val="1"/>
  </w:num>
  <w:num w:numId="20">
    <w:abstractNumId w:val="12"/>
  </w:num>
  <w:num w:numId="21">
    <w:abstractNumId w:val="23"/>
  </w:num>
  <w:num w:numId="22">
    <w:abstractNumId w:val="4"/>
  </w:num>
  <w:num w:numId="23">
    <w:abstractNumId w:val="31"/>
  </w:num>
  <w:num w:numId="24">
    <w:abstractNumId w:val="14"/>
  </w:num>
  <w:num w:numId="25">
    <w:abstractNumId w:val="7"/>
  </w:num>
  <w:num w:numId="26">
    <w:abstractNumId w:val="0"/>
  </w:num>
  <w:num w:numId="27">
    <w:abstractNumId w:val="17"/>
  </w:num>
  <w:num w:numId="28">
    <w:abstractNumId w:val="13"/>
  </w:num>
  <w:num w:numId="29">
    <w:abstractNumId w:val="11"/>
  </w:num>
  <w:num w:numId="30">
    <w:abstractNumId w:val="2"/>
  </w:num>
  <w:num w:numId="31">
    <w:abstractNumId w:val="9"/>
  </w:num>
  <w:num w:numId="32">
    <w:abstractNumId w:val="6"/>
  </w:num>
  <w:num w:numId="33">
    <w:abstractNumId w:val="32"/>
  </w:num>
  <w:num w:numId="34">
    <w:abstractNumId w:val="34"/>
  </w:num>
  <w:num w:numId="35">
    <w:abstractNumId w:val="28"/>
  </w:num>
  <w:num w:numId="36">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40"/>
  <w:doNotDisplayPageBoundaries/>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5C6"/>
    <w:rsid w:val="000006F4"/>
    <w:rsid w:val="00001554"/>
    <w:rsid w:val="00002079"/>
    <w:rsid w:val="00002E68"/>
    <w:rsid w:val="000042C6"/>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17ECE"/>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120"/>
    <w:rsid w:val="000256A1"/>
    <w:rsid w:val="00026904"/>
    <w:rsid w:val="00026A59"/>
    <w:rsid w:val="00026F5D"/>
    <w:rsid w:val="0002723D"/>
    <w:rsid w:val="00027E56"/>
    <w:rsid w:val="00030169"/>
    <w:rsid w:val="000307A8"/>
    <w:rsid w:val="00031165"/>
    <w:rsid w:val="00031383"/>
    <w:rsid w:val="00031A23"/>
    <w:rsid w:val="00031CC0"/>
    <w:rsid w:val="000323D5"/>
    <w:rsid w:val="00032561"/>
    <w:rsid w:val="000326E2"/>
    <w:rsid w:val="00032B28"/>
    <w:rsid w:val="00033D20"/>
    <w:rsid w:val="00033F47"/>
    <w:rsid w:val="00034749"/>
    <w:rsid w:val="00034BF3"/>
    <w:rsid w:val="00034F28"/>
    <w:rsid w:val="0003564D"/>
    <w:rsid w:val="000365C5"/>
    <w:rsid w:val="000368DA"/>
    <w:rsid w:val="00037162"/>
    <w:rsid w:val="0003726B"/>
    <w:rsid w:val="000401D4"/>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1EA"/>
    <w:rsid w:val="000503DF"/>
    <w:rsid w:val="000505B8"/>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6CBD"/>
    <w:rsid w:val="00056EAE"/>
    <w:rsid w:val="00057673"/>
    <w:rsid w:val="00057835"/>
    <w:rsid w:val="0005790C"/>
    <w:rsid w:val="000601AF"/>
    <w:rsid w:val="00060D25"/>
    <w:rsid w:val="00060DC3"/>
    <w:rsid w:val="0006142F"/>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017"/>
    <w:rsid w:val="00071306"/>
    <w:rsid w:val="00071608"/>
    <w:rsid w:val="0007164F"/>
    <w:rsid w:val="00071DB0"/>
    <w:rsid w:val="000721DA"/>
    <w:rsid w:val="000723F1"/>
    <w:rsid w:val="00072FAF"/>
    <w:rsid w:val="00073B79"/>
    <w:rsid w:val="00073D2A"/>
    <w:rsid w:val="0007587C"/>
    <w:rsid w:val="000761DE"/>
    <w:rsid w:val="000764BF"/>
    <w:rsid w:val="00076EC6"/>
    <w:rsid w:val="00077058"/>
    <w:rsid w:val="0007768A"/>
    <w:rsid w:val="00077F33"/>
    <w:rsid w:val="00080995"/>
    <w:rsid w:val="00080C3A"/>
    <w:rsid w:val="000811DA"/>
    <w:rsid w:val="00081D13"/>
    <w:rsid w:val="00082230"/>
    <w:rsid w:val="0008266E"/>
    <w:rsid w:val="000826DC"/>
    <w:rsid w:val="0008285B"/>
    <w:rsid w:val="000834ED"/>
    <w:rsid w:val="00083ABB"/>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2023"/>
    <w:rsid w:val="000923CF"/>
    <w:rsid w:val="000925C2"/>
    <w:rsid w:val="0009333B"/>
    <w:rsid w:val="000947DE"/>
    <w:rsid w:val="00094940"/>
    <w:rsid w:val="00094AE2"/>
    <w:rsid w:val="00094DD8"/>
    <w:rsid w:val="0009544E"/>
    <w:rsid w:val="0009612A"/>
    <w:rsid w:val="0009659B"/>
    <w:rsid w:val="000967AD"/>
    <w:rsid w:val="000973F5"/>
    <w:rsid w:val="00097459"/>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4AE4"/>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2EFA"/>
    <w:rsid w:val="000C322C"/>
    <w:rsid w:val="000C3874"/>
    <w:rsid w:val="000C3D1C"/>
    <w:rsid w:val="000C4338"/>
    <w:rsid w:val="000C440D"/>
    <w:rsid w:val="000C458A"/>
    <w:rsid w:val="000C4D56"/>
    <w:rsid w:val="000C5B5A"/>
    <w:rsid w:val="000C5D17"/>
    <w:rsid w:val="000C5FCB"/>
    <w:rsid w:val="000C67EF"/>
    <w:rsid w:val="000C6B58"/>
    <w:rsid w:val="000C7058"/>
    <w:rsid w:val="000C7687"/>
    <w:rsid w:val="000C7887"/>
    <w:rsid w:val="000C7AAC"/>
    <w:rsid w:val="000C7C7C"/>
    <w:rsid w:val="000D02AA"/>
    <w:rsid w:val="000D0B01"/>
    <w:rsid w:val="000D1172"/>
    <w:rsid w:val="000D12D4"/>
    <w:rsid w:val="000D1A3C"/>
    <w:rsid w:val="000D1FEC"/>
    <w:rsid w:val="000D22DB"/>
    <w:rsid w:val="000D2359"/>
    <w:rsid w:val="000D2BCF"/>
    <w:rsid w:val="000D355E"/>
    <w:rsid w:val="000D4391"/>
    <w:rsid w:val="000D4A00"/>
    <w:rsid w:val="000D4AF6"/>
    <w:rsid w:val="000D4FD4"/>
    <w:rsid w:val="000D5181"/>
    <w:rsid w:val="000D58BA"/>
    <w:rsid w:val="000D59BD"/>
    <w:rsid w:val="000D60F8"/>
    <w:rsid w:val="000D6118"/>
    <w:rsid w:val="000D651E"/>
    <w:rsid w:val="000D662B"/>
    <w:rsid w:val="000D765D"/>
    <w:rsid w:val="000D7E31"/>
    <w:rsid w:val="000E0B57"/>
    <w:rsid w:val="000E0D6D"/>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6C44"/>
    <w:rsid w:val="000E72B4"/>
    <w:rsid w:val="000E79C6"/>
    <w:rsid w:val="000E7FC4"/>
    <w:rsid w:val="000F031A"/>
    <w:rsid w:val="000F0576"/>
    <w:rsid w:val="000F0F33"/>
    <w:rsid w:val="000F1DEE"/>
    <w:rsid w:val="000F230C"/>
    <w:rsid w:val="000F271E"/>
    <w:rsid w:val="000F283B"/>
    <w:rsid w:val="000F328C"/>
    <w:rsid w:val="000F42D3"/>
    <w:rsid w:val="000F4489"/>
    <w:rsid w:val="000F4599"/>
    <w:rsid w:val="000F499A"/>
    <w:rsid w:val="000F5488"/>
    <w:rsid w:val="000F5530"/>
    <w:rsid w:val="000F5B26"/>
    <w:rsid w:val="000F630A"/>
    <w:rsid w:val="000F6895"/>
    <w:rsid w:val="000F68F1"/>
    <w:rsid w:val="000F690C"/>
    <w:rsid w:val="000F6A99"/>
    <w:rsid w:val="000F6FE9"/>
    <w:rsid w:val="000F70E0"/>
    <w:rsid w:val="000F7382"/>
    <w:rsid w:val="001004CA"/>
    <w:rsid w:val="00100615"/>
    <w:rsid w:val="001008B1"/>
    <w:rsid w:val="0010092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A73"/>
    <w:rsid w:val="001051FC"/>
    <w:rsid w:val="0010552D"/>
    <w:rsid w:val="001059E2"/>
    <w:rsid w:val="00105A9C"/>
    <w:rsid w:val="00105D85"/>
    <w:rsid w:val="00105FAF"/>
    <w:rsid w:val="0010684E"/>
    <w:rsid w:val="001068E4"/>
    <w:rsid w:val="00106902"/>
    <w:rsid w:val="00106A89"/>
    <w:rsid w:val="001076AC"/>
    <w:rsid w:val="00107A6A"/>
    <w:rsid w:val="00107F89"/>
    <w:rsid w:val="00111828"/>
    <w:rsid w:val="0011274D"/>
    <w:rsid w:val="0011282B"/>
    <w:rsid w:val="00112969"/>
    <w:rsid w:val="0011297B"/>
    <w:rsid w:val="00112D66"/>
    <w:rsid w:val="00112DDC"/>
    <w:rsid w:val="00114108"/>
    <w:rsid w:val="001145CD"/>
    <w:rsid w:val="00114764"/>
    <w:rsid w:val="00115AEF"/>
    <w:rsid w:val="00116080"/>
    <w:rsid w:val="0011638B"/>
    <w:rsid w:val="00116445"/>
    <w:rsid w:val="00116DF7"/>
    <w:rsid w:val="001171C1"/>
    <w:rsid w:val="00117964"/>
    <w:rsid w:val="00120BBB"/>
    <w:rsid w:val="0012120A"/>
    <w:rsid w:val="00123086"/>
    <w:rsid w:val="00123389"/>
    <w:rsid w:val="00123E56"/>
    <w:rsid w:val="001241D0"/>
    <w:rsid w:val="001243AC"/>
    <w:rsid w:val="00124AA9"/>
    <w:rsid w:val="001253DF"/>
    <w:rsid w:val="00125824"/>
    <w:rsid w:val="00125B3C"/>
    <w:rsid w:val="00125F8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3EB9"/>
    <w:rsid w:val="0013425F"/>
    <w:rsid w:val="00134806"/>
    <w:rsid w:val="0013512A"/>
    <w:rsid w:val="00135141"/>
    <w:rsid w:val="001353FC"/>
    <w:rsid w:val="00135566"/>
    <w:rsid w:val="00135898"/>
    <w:rsid w:val="00135C70"/>
    <w:rsid w:val="00136B9F"/>
    <w:rsid w:val="00136ECA"/>
    <w:rsid w:val="001375DC"/>
    <w:rsid w:val="00137C44"/>
    <w:rsid w:val="00137C8F"/>
    <w:rsid w:val="00140805"/>
    <w:rsid w:val="001409DE"/>
    <w:rsid w:val="00140CB7"/>
    <w:rsid w:val="00140F21"/>
    <w:rsid w:val="0014134B"/>
    <w:rsid w:val="001420CF"/>
    <w:rsid w:val="0014221C"/>
    <w:rsid w:val="00142A41"/>
    <w:rsid w:val="00143488"/>
    <w:rsid w:val="00143759"/>
    <w:rsid w:val="00143C8B"/>
    <w:rsid w:val="00143F56"/>
    <w:rsid w:val="001440A5"/>
    <w:rsid w:val="0014462D"/>
    <w:rsid w:val="001446B1"/>
    <w:rsid w:val="001448B7"/>
    <w:rsid w:val="00144ED4"/>
    <w:rsid w:val="00146015"/>
    <w:rsid w:val="001460BE"/>
    <w:rsid w:val="001462C7"/>
    <w:rsid w:val="00147A57"/>
    <w:rsid w:val="00151161"/>
    <w:rsid w:val="00151719"/>
    <w:rsid w:val="0015196F"/>
    <w:rsid w:val="00151DCD"/>
    <w:rsid w:val="001529C9"/>
    <w:rsid w:val="00152BC7"/>
    <w:rsid w:val="00152FE6"/>
    <w:rsid w:val="00154183"/>
    <w:rsid w:val="00154797"/>
    <w:rsid w:val="00155D37"/>
    <w:rsid w:val="00155DD7"/>
    <w:rsid w:val="001562C4"/>
    <w:rsid w:val="001567CB"/>
    <w:rsid w:val="00156DBC"/>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5DE6"/>
    <w:rsid w:val="001668D7"/>
    <w:rsid w:val="00166E19"/>
    <w:rsid w:val="00166E22"/>
    <w:rsid w:val="0016727F"/>
    <w:rsid w:val="0016752D"/>
    <w:rsid w:val="0016772E"/>
    <w:rsid w:val="001677BF"/>
    <w:rsid w:val="00167BA0"/>
    <w:rsid w:val="00167F46"/>
    <w:rsid w:val="00167F84"/>
    <w:rsid w:val="001705AC"/>
    <w:rsid w:val="00170602"/>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B07"/>
    <w:rsid w:val="00182D21"/>
    <w:rsid w:val="00182D6C"/>
    <w:rsid w:val="00182EDB"/>
    <w:rsid w:val="0018314E"/>
    <w:rsid w:val="001838A1"/>
    <w:rsid w:val="00184134"/>
    <w:rsid w:val="001841B0"/>
    <w:rsid w:val="001863DA"/>
    <w:rsid w:val="00186574"/>
    <w:rsid w:val="0018686E"/>
    <w:rsid w:val="0018689E"/>
    <w:rsid w:val="00186918"/>
    <w:rsid w:val="00186DFE"/>
    <w:rsid w:val="00186FED"/>
    <w:rsid w:val="001874A3"/>
    <w:rsid w:val="001878F6"/>
    <w:rsid w:val="001879F5"/>
    <w:rsid w:val="00187B6A"/>
    <w:rsid w:val="00190C7D"/>
    <w:rsid w:val="001913A3"/>
    <w:rsid w:val="00192290"/>
    <w:rsid w:val="00192CF8"/>
    <w:rsid w:val="00192F75"/>
    <w:rsid w:val="00192FD9"/>
    <w:rsid w:val="001933B6"/>
    <w:rsid w:val="00193508"/>
    <w:rsid w:val="00193752"/>
    <w:rsid w:val="00193F63"/>
    <w:rsid w:val="0019446D"/>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3585"/>
    <w:rsid w:val="001A45F5"/>
    <w:rsid w:val="001A45FD"/>
    <w:rsid w:val="001A4830"/>
    <w:rsid w:val="001A52F1"/>
    <w:rsid w:val="001A54D6"/>
    <w:rsid w:val="001A5951"/>
    <w:rsid w:val="001A5C57"/>
    <w:rsid w:val="001A5FAC"/>
    <w:rsid w:val="001A652B"/>
    <w:rsid w:val="001A73C7"/>
    <w:rsid w:val="001B014E"/>
    <w:rsid w:val="001B044D"/>
    <w:rsid w:val="001B07B2"/>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1D43"/>
    <w:rsid w:val="001C23E8"/>
    <w:rsid w:val="001C34DC"/>
    <w:rsid w:val="001C3507"/>
    <w:rsid w:val="001C37A9"/>
    <w:rsid w:val="001C389D"/>
    <w:rsid w:val="001C4764"/>
    <w:rsid w:val="001C47EA"/>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24E"/>
    <w:rsid w:val="001D2337"/>
    <w:rsid w:val="001D26EA"/>
    <w:rsid w:val="001D272D"/>
    <w:rsid w:val="001D2A3D"/>
    <w:rsid w:val="001D2D1D"/>
    <w:rsid w:val="001D330C"/>
    <w:rsid w:val="001D33F3"/>
    <w:rsid w:val="001D3743"/>
    <w:rsid w:val="001D392E"/>
    <w:rsid w:val="001D4717"/>
    <w:rsid w:val="001D4AC5"/>
    <w:rsid w:val="001D4C3D"/>
    <w:rsid w:val="001D4F42"/>
    <w:rsid w:val="001D509A"/>
    <w:rsid w:val="001D5249"/>
    <w:rsid w:val="001D53AF"/>
    <w:rsid w:val="001D54EC"/>
    <w:rsid w:val="001D6045"/>
    <w:rsid w:val="001D66ED"/>
    <w:rsid w:val="001D6A92"/>
    <w:rsid w:val="001D6DE8"/>
    <w:rsid w:val="001D717A"/>
    <w:rsid w:val="001D79A6"/>
    <w:rsid w:val="001D7D1D"/>
    <w:rsid w:val="001E028D"/>
    <w:rsid w:val="001E0399"/>
    <w:rsid w:val="001E0870"/>
    <w:rsid w:val="001E0C9B"/>
    <w:rsid w:val="001E112C"/>
    <w:rsid w:val="001E15C2"/>
    <w:rsid w:val="001E19B1"/>
    <w:rsid w:val="001E19CB"/>
    <w:rsid w:val="001E2050"/>
    <w:rsid w:val="001E2875"/>
    <w:rsid w:val="001E3425"/>
    <w:rsid w:val="001E36E8"/>
    <w:rsid w:val="001E3816"/>
    <w:rsid w:val="001E399C"/>
    <w:rsid w:val="001E3ABE"/>
    <w:rsid w:val="001E3B64"/>
    <w:rsid w:val="001E4374"/>
    <w:rsid w:val="001E4987"/>
    <w:rsid w:val="001E4F09"/>
    <w:rsid w:val="001E5665"/>
    <w:rsid w:val="001E5D78"/>
    <w:rsid w:val="001E6792"/>
    <w:rsid w:val="001E6B17"/>
    <w:rsid w:val="001E6D61"/>
    <w:rsid w:val="001E71A9"/>
    <w:rsid w:val="001E74A4"/>
    <w:rsid w:val="001F00E3"/>
    <w:rsid w:val="001F01A5"/>
    <w:rsid w:val="001F0728"/>
    <w:rsid w:val="001F09BA"/>
    <w:rsid w:val="001F0A1B"/>
    <w:rsid w:val="001F0D62"/>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01"/>
    <w:rsid w:val="001F5890"/>
    <w:rsid w:val="001F5991"/>
    <w:rsid w:val="001F5C92"/>
    <w:rsid w:val="001F5D72"/>
    <w:rsid w:val="001F626C"/>
    <w:rsid w:val="001F65E5"/>
    <w:rsid w:val="001F6F34"/>
    <w:rsid w:val="001F71E4"/>
    <w:rsid w:val="001F79FA"/>
    <w:rsid w:val="001F7C4D"/>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4AD"/>
    <w:rsid w:val="00203A2E"/>
    <w:rsid w:val="0020442C"/>
    <w:rsid w:val="00204A99"/>
    <w:rsid w:val="002071CE"/>
    <w:rsid w:val="002072F3"/>
    <w:rsid w:val="00207BFE"/>
    <w:rsid w:val="00207D80"/>
    <w:rsid w:val="002101B4"/>
    <w:rsid w:val="00210250"/>
    <w:rsid w:val="00210AB3"/>
    <w:rsid w:val="00211125"/>
    <w:rsid w:val="002113BC"/>
    <w:rsid w:val="00211927"/>
    <w:rsid w:val="00211C7B"/>
    <w:rsid w:val="002122E4"/>
    <w:rsid w:val="00212630"/>
    <w:rsid w:val="00212750"/>
    <w:rsid w:val="00212F58"/>
    <w:rsid w:val="00213080"/>
    <w:rsid w:val="002145A8"/>
    <w:rsid w:val="0021494A"/>
    <w:rsid w:val="00214EFF"/>
    <w:rsid w:val="0021510C"/>
    <w:rsid w:val="002151E7"/>
    <w:rsid w:val="00215964"/>
    <w:rsid w:val="00215988"/>
    <w:rsid w:val="00216342"/>
    <w:rsid w:val="0021676B"/>
    <w:rsid w:val="00216AE8"/>
    <w:rsid w:val="00216D56"/>
    <w:rsid w:val="0021704C"/>
    <w:rsid w:val="00217F0A"/>
    <w:rsid w:val="00217F22"/>
    <w:rsid w:val="002204DF"/>
    <w:rsid w:val="00220500"/>
    <w:rsid w:val="002205AB"/>
    <w:rsid w:val="002205FB"/>
    <w:rsid w:val="002209D7"/>
    <w:rsid w:val="00220BCF"/>
    <w:rsid w:val="00220BF6"/>
    <w:rsid w:val="00220C47"/>
    <w:rsid w:val="00221594"/>
    <w:rsid w:val="002219F0"/>
    <w:rsid w:val="00222383"/>
    <w:rsid w:val="00222AC9"/>
    <w:rsid w:val="00222AD6"/>
    <w:rsid w:val="002236A3"/>
    <w:rsid w:val="00223B92"/>
    <w:rsid w:val="00223E02"/>
    <w:rsid w:val="0022403E"/>
    <w:rsid w:val="0022434E"/>
    <w:rsid w:val="002245D6"/>
    <w:rsid w:val="002245F6"/>
    <w:rsid w:val="002246B0"/>
    <w:rsid w:val="00224853"/>
    <w:rsid w:val="0022506C"/>
    <w:rsid w:val="0022571C"/>
    <w:rsid w:val="00225CA5"/>
    <w:rsid w:val="00225E3F"/>
    <w:rsid w:val="00226E14"/>
    <w:rsid w:val="002275D2"/>
    <w:rsid w:val="00230493"/>
    <w:rsid w:val="002309F0"/>
    <w:rsid w:val="00231D60"/>
    <w:rsid w:val="00231E6C"/>
    <w:rsid w:val="002321D9"/>
    <w:rsid w:val="00232745"/>
    <w:rsid w:val="0023276E"/>
    <w:rsid w:val="00232806"/>
    <w:rsid w:val="00232C50"/>
    <w:rsid w:val="0023315F"/>
    <w:rsid w:val="002333B3"/>
    <w:rsid w:val="00235795"/>
    <w:rsid w:val="002357ED"/>
    <w:rsid w:val="00236FEA"/>
    <w:rsid w:val="00237463"/>
    <w:rsid w:val="00237506"/>
    <w:rsid w:val="00237AE8"/>
    <w:rsid w:val="0024014F"/>
    <w:rsid w:val="00240F78"/>
    <w:rsid w:val="0024120C"/>
    <w:rsid w:val="002415BD"/>
    <w:rsid w:val="00241962"/>
    <w:rsid w:val="00241C6C"/>
    <w:rsid w:val="00241EC6"/>
    <w:rsid w:val="00242785"/>
    <w:rsid w:val="00243513"/>
    <w:rsid w:val="00243F07"/>
    <w:rsid w:val="00244326"/>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12DC"/>
    <w:rsid w:val="00251632"/>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367"/>
    <w:rsid w:val="002574CB"/>
    <w:rsid w:val="002575D7"/>
    <w:rsid w:val="002575EB"/>
    <w:rsid w:val="00257CBE"/>
    <w:rsid w:val="00257F80"/>
    <w:rsid w:val="00260116"/>
    <w:rsid w:val="0026012E"/>
    <w:rsid w:val="002603B5"/>
    <w:rsid w:val="00260424"/>
    <w:rsid w:val="00260AEE"/>
    <w:rsid w:val="00260CB9"/>
    <w:rsid w:val="00261071"/>
    <w:rsid w:val="00261464"/>
    <w:rsid w:val="00261D36"/>
    <w:rsid w:val="0026220D"/>
    <w:rsid w:val="00262996"/>
    <w:rsid w:val="002629DD"/>
    <w:rsid w:val="00262B41"/>
    <w:rsid w:val="00262E3A"/>
    <w:rsid w:val="0026385D"/>
    <w:rsid w:val="00264DBA"/>
    <w:rsid w:val="00265611"/>
    <w:rsid w:val="00265651"/>
    <w:rsid w:val="002659FE"/>
    <w:rsid w:val="00265ADD"/>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5FD5"/>
    <w:rsid w:val="00286207"/>
    <w:rsid w:val="00286371"/>
    <w:rsid w:val="002863D5"/>
    <w:rsid w:val="00286658"/>
    <w:rsid w:val="0028694F"/>
    <w:rsid w:val="00286ED4"/>
    <w:rsid w:val="00286F8B"/>
    <w:rsid w:val="0029089D"/>
    <w:rsid w:val="00290B21"/>
    <w:rsid w:val="002913B8"/>
    <w:rsid w:val="002913F5"/>
    <w:rsid w:val="002915B7"/>
    <w:rsid w:val="002917B5"/>
    <w:rsid w:val="00291E51"/>
    <w:rsid w:val="002928F7"/>
    <w:rsid w:val="00292D6B"/>
    <w:rsid w:val="00292D84"/>
    <w:rsid w:val="002940E9"/>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5D42"/>
    <w:rsid w:val="002A60DC"/>
    <w:rsid w:val="002A614B"/>
    <w:rsid w:val="002A6857"/>
    <w:rsid w:val="002A6AA0"/>
    <w:rsid w:val="002A6C2A"/>
    <w:rsid w:val="002A75E3"/>
    <w:rsid w:val="002A7870"/>
    <w:rsid w:val="002B1F8F"/>
    <w:rsid w:val="002B1FF1"/>
    <w:rsid w:val="002B1FF9"/>
    <w:rsid w:val="002B2455"/>
    <w:rsid w:val="002B2516"/>
    <w:rsid w:val="002B2E25"/>
    <w:rsid w:val="002B3577"/>
    <w:rsid w:val="002B4013"/>
    <w:rsid w:val="002B45AA"/>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FBE"/>
    <w:rsid w:val="002C1D14"/>
    <w:rsid w:val="002C1E67"/>
    <w:rsid w:val="002C3755"/>
    <w:rsid w:val="002C3D43"/>
    <w:rsid w:val="002C43AB"/>
    <w:rsid w:val="002C443E"/>
    <w:rsid w:val="002C497E"/>
    <w:rsid w:val="002C50C6"/>
    <w:rsid w:val="002C54D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99A"/>
    <w:rsid w:val="002D3085"/>
    <w:rsid w:val="002D39A1"/>
    <w:rsid w:val="002D3B28"/>
    <w:rsid w:val="002D4B4A"/>
    <w:rsid w:val="002D4C48"/>
    <w:rsid w:val="002D586C"/>
    <w:rsid w:val="002D5E3C"/>
    <w:rsid w:val="002D65C7"/>
    <w:rsid w:val="002D6BDE"/>
    <w:rsid w:val="002D748F"/>
    <w:rsid w:val="002D7685"/>
    <w:rsid w:val="002D7EE5"/>
    <w:rsid w:val="002E0753"/>
    <w:rsid w:val="002E092D"/>
    <w:rsid w:val="002E1055"/>
    <w:rsid w:val="002E1472"/>
    <w:rsid w:val="002E17D8"/>
    <w:rsid w:val="002E1C9B"/>
    <w:rsid w:val="002E31AE"/>
    <w:rsid w:val="002E3C54"/>
    <w:rsid w:val="002E4767"/>
    <w:rsid w:val="002E4797"/>
    <w:rsid w:val="002E49E9"/>
    <w:rsid w:val="002E5749"/>
    <w:rsid w:val="002E719D"/>
    <w:rsid w:val="002E766C"/>
    <w:rsid w:val="002E7D9C"/>
    <w:rsid w:val="002E7FAD"/>
    <w:rsid w:val="002F01DA"/>
    <w:rsid w:val="002F11FE"/>
    <w:rsid w:val="002F2678"/>
    <w:rsid w:val="002F269A"/>
    <w:rsid w:val="002F283F"/>
    <w:rsid w:val="002F2D3B"/>
    <w:rsid w:val="002F2DF1"/>
    <w:rsid w:val="002F32C4"/>
    <w:rsid w:val="002F389A"/>
    <w:rsid w:val="002F3AF3"/>
    <w:rsid w:val="002F3DC9"/>
    <w:rsid w:val="002F41AD"/>
    <w:rsid w:val="002F43FB"/>
    <w:rsid w:val="002F5527"/>
    <w:rsid w:val="002F5672"/>
    <w:rsid w:val="002F5EE4"/>
    <w:rsid w:val="002F6321"/>
    <w:rsid w:val="002F64DA"/>
    <w:rsid w:val="002F6B99"/>
    <w:rsid w:val="002F6F3F"/>
    <w:rsid w:val="002F7041"/>
    <w:rsid w:val="002F7307"/>
    <w:rsid w:val="002F744E"/>
    <w:rsid w:val="002F78F6"/>
    <w:rsid w:val="002F7FD1"/>
    <w:rsid w:val="00300ACD"/>
    <w:rsid w:val="00300FBA"/>
    <w:rsid w:val="00301387"/>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DCD"/>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D02"/>
    <w:rsid w:val="00325FB1"/>
    <w:rsid w:val="003262D8"/>
    <w:rsid w:val="00326780"/>
    <w:rsid w:val="0032716F"/>
    <w:rsid w:val="00327258"/>
    <w:rsid w:val="00327CF0"/>
    <w:rsid w:val="00330C36"/>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014"/>
    <w:rsid w:val="0033793F"/>
    <w:rsid w:val="0034016A"/>
    <w:rsid w:val="0034026F"/>
    <w:rsid w:val="00340B11"/>
    <w:rsid w:val="00340B71"/>
    <w:rsid w:val="00340EBF"/>
    <w:rsid w:val="00341294"/>
    <w:rsid w:val="00341ADA"/>
    <w:rsid w:val="00342F84"/>
    <w:rsid w:val="003435B3"/>
    <w:rsid w:val="003442B0"/>
    <w:rsid w:val="00344673"/>
    <w:rsid w:val="003446BA"/>
    <w:rsid w:val="00344F58"/>
    <w:rsid w:val="00345721"/>
    <w:rsid w:val="00345BD2"/>
    <w:rsid w:val="00345E5B"/>
    <w:rsid w:val="0034618E"/>
    <w:rsid w:val="003465C1"/>
    <w:rsid w:val="00347423"/>
    <w:rsid w:val="003475CD"/>
    <w:rsid w:val="00347617"/>
    <w:rsid w:val="00347818"/>
    <w:rsid w:val="00347F38"/>
    <w:rsid w:val="00350217"/>
    <w:rsid w:val="0035080A"/>
    <w:rsid w:val="00350E7C"/>
    <w:rsid w:val="00350F2A"/>
    <w:rsid w:val="00351204"/>
    <w:rsid w:val="003519EF"/>
    <w:rsid w:val="00351B45"/>
    <w:rsid w:val="00352412"/>
    <w:rsid w:val="00352441"/>
    <w:rsid w:val="0035262B"/>
    <w:rsid w:val="003527B2"/>
    <w:rsid w:val="003529B8"/>
    <w:rsid w:val="00352EED"/>
    <w:rsid w:val="00353C5C"/>
    <w:rsid w:val="003541F8"/>
    <w:rsid w:val="0035466A"/>
    <w:rsid w:val="00354C7F"/>
    <w:rsid w:val="00354D06"/>
    <w:rsid w:val="00354FF1"/>
    <w:rsid w:val="00355045"/>
    <w:rsid w:val="0035574C"/>
    <w:rsid w:val="0035625A"/>
    <w:rsid w:val="003566FF"/>
    <w:rsid w:val="00356AE9"/>
    <w:rsid w:val="00356E94"/>
    <w:rsid w:val="003579B0"/>
    <w:rsid w:val="00357B4E"/>
    <w:rsid w:val="00357E54"/>
    <w:rsid w:val="0036082C"/>
    <w:rsid w:val="00360CF3"/>
    <w:rsid w:val="003610D3"/>
    <w:rsid w:val="00361F49"/>
    <w:rsid w:val="00362AC0"/>
    <w:rsid w:val="00362D28"/>
    <w:rsid w:val="00363314"/>
    <w:rsid w:val="00363852"/>
    <w:rsid w:val="00363A78"/>
    <w:rsid w:val="00364D7D"/>
    <w:rsid w:val="0036538E"/>
    <w:rsid w:val="003653DC"/>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484"/>
    <w:rsid w:val="003778C9"/>
    <w:rsid w:val="0038060E"/>
    <w:rsid w:val="003806B5"/>
    <w:rsid w:val="003816B4"/>
    <w:rsid w:val="00381934"/>
    <w:rsid w:val="00381A7A"/>
    <w:rsid w:val="00382108"/>
    <w:rsid w:val="00382335"/>
    <w:rsid w:val="00382D5F"/>
    <w:rsid w:val="00383502"/>
    <w:rsid w:val="003839D2"/>
    <w:rsid w:val="00384028"/>
    <w:rsid w:val="003850A9"/>
    <w:rsid w:val="00385FEC"/>
    <w:rsid w:val="00386262"/>
    <w:rsid w:val="003865CA"/>
    <w:rsid w:val="00386E67"/>
    <w:rsid w:val="00387A30"/>
    <w:rsid w:val="00387D53"/>
    <w:rsid w:val="003901C2"/>
    <w:rsid w:val="003903D3"/>
    <w:rsid w:val="00390A5A"/>
    <w:rsid w:val="00390E9F"/>
    <w:rsid w:val="00390EAA"/>
    <w:rsid w:val="0039167C"/>
    <w:rsid w:val="0039296C"/>
    <w:rsid w:val="0039338F"/>
    <w:rsid w:val="00393614"/>
    <w:rsid w:val="003936F2"/>
    <w:rsid w:val="00393873"/>
    <w:rsid w:val="00394D01"/>
    <w:rsid w:val="00394D97"/>
    <w:rsid w:val="003950DD"/>
    <w:rsid w:val="00395EC0"/>
    <w:rsid w:val="0039607A"/>
    <w:rsid w:val="0039647A"/>
    <w:rsid w:val="003967B5"/>
    <w:rsid w:val="00396825"/>
    <w:rsid w:val="003A1B19"/>
    <w:rsid w:val="003A271F"/>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2AA"/>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81B"/>
    <w:rsid w:val="003C3977"/>
    <w:rsid w:val="003C3A38"/>
    <w:rsid w:val="003C5742"/>
    <w:rsid w:val="003C5AA9"/>
    <w:rsid w:val="003C5C76"/>
    <w:rsid w:val="003C6879"/>
    <w:rsid w:val="003C6E8A"/>
    <w:rsid w:val="003C7296"/>
    <w:rsid w:val="003C7437"/>
    <w:rsid w:val="003C7BB1"/>
    <w:rsid w:val="003D05BA"/>
    <w:rsid w:val="003D072B"/>
    <w:rsid w:val="003D0774"/>
    <w:rsid w:val="003D1556"/>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6DCB"/>
    <w:rsid w:val="003D71CE"/>
    <w:rsid w:val="003D7401"/>
    <w:rsid w:val="003D744A"/>
    <w:rsid w:val="003D7BF5"/>
    <w:rsid w:val="003E01AA"/>
    <w:rsid w:val="003E10AF"/>
    <w:rsid w:val="003E1296"/>
    <w:rsid w:val="003E143D"/>
    <w:rsid w:val="003E162A"/>
    <w:rsid w:val="003E16B3"/>
    <w:rsid w:val="003E19CE"/>
    <w:rsid w:val="003E1CD0"/>
    <w:rsid w:val="003E203F"/>
    <w:rsid w:val="003E28C0"/>
    <w:rsid w:val="003E32DD"/>
    <w:rsid w:val="003E3882"/>
    <w:rsid w:val="003E4559"/>
    <w:rsid w:val="003E4724"/>
    <w:rsid w:val="003E4805"/>
    <w:rsid w:val="003E57B7"/>
    <w:rsid w:val="003E5983"/>
    <w:rsid w:val="003E5CD9"/>
    <w:rsid w:val="003E67A1"/>
    <w:rsid w:val="003E6AB4"/>
    <w:rsid w:val="003E703F"/>
    <w:rsid w:val="003F0446"/>
    <w:rsid w:val="003F0AC4"/>
    <w:rsid w:val="003F0BF8"/>
    <w:rsid w:val="003F0DA9"/>
    <w:rsid w:val="003F1271"/>
    <w:rsid w:val="003F13F9"/>
    <w:rsid w:val="003F163F"/>
    <w:rsid w:val="003F1884"/>
    <w:rsid w:val="003F18A6"/>
    <w:rsid w:val="003F1C38"/>
    <w:rsid w:val="003F1CFD"/>
    <w:rsid w:val="003F2042"/>
    <w:rsid w:val="003F22DC"/>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1B32"/>
    <w:rsid w:val="00412A80"/>
    <w:rsid w:val="00412C67"/>
    <w:rsid w:val="00412F25"/>
    <w:rsid w:val="004138D2"/>
    <w:rsid w:val="00413CB5"/>
    <w:rsid w:val="00414030"/>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E4"/>
    <w:rsid w:val="00432409"/>
    <w:rsid w:val="00432A6B"/>
    <w:rsid w:val="00433E48"/>
    <w:rsid w:val="004342E0"/>
    <w:rsid w:val="00434570"/>
    <w:rsid w:val="00434855"/>
    <w:rsid w:val="004354E2"/>
    <w:rsid w:val="00435AE4"/>
    <w:rsid w:val="00435AF0"/>
    <w:rsid w:val="0043601E"/>
    <w:rsid w:val="00436395"/>
    <w:rsid w:val="00436452"/>
    <w:rsid w:val="00436883"/>
    <w:rsid w:val="00436BD2"/>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DD1"/>
    <w:rsid w:val="004442A4"/>
    <w:rsid w:val="00444A16"/>
    <w:rsid w:val="00444DA8"/>
    <w:rsid w:val="004453CF"/>
    <w:rsid w:val="00445828"/>
    <w:rsid w:val="00445A5B"/>
    <w:rsid w:val="00445B93"/>
    <w:rsid w:val="00445CEA"/>
    <w:rsid w:val="00445FB2"/>
    <w:rsid w:val="0044620E"/>
    <w:rsid w:val="00446B32"/>
    <w:rsid w:val="0045053D"/>
    <w:rsid w:val="004508E8"/>
    <w:rsid w:val="0045097C"/>
    <w:rsid w:val="00450F8D"/>
    <w:rsid w:val="00451414"/>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D83"/>
    <w:rsid w:val="00463EC0"/>
    <w:rsid w:val="00464D77"/>
    <w:rsid w:val="0046566A"/>
    <w:rsid w:val="00465AE3"/>
    <w:rsid w:val="0046639A"/>
    <w:rsid w:val="00466C9C"/>
    <w:rsid w:val="00467BD5"/>
    <w:rsid w:val="00471190"/>
    <w:rsid w:val="004711EF"/>
    <w:rsid w:val="00472760"/>
    <w:rsid w:val="00472B07"/>
    <w:rsid w:val="00473001"/>
    <w:rsid w:val="004732B7"/>
    <w:rsid w:val="00474557"/>
    <w:rsid w:val="0047518D"/>
    <w:rsid w:val="004759A8"/>
    <w:rsid w:val="00475AB2"/>
    <w:rsid w:val="00475E71"/>
    <w:rsid w:val="0047626A"/>
    <w:rsid w:val="0047656F"/>
    <w:rsid w:val="004771F2"/>
    <w:rsid w:val="0047774B"/>
    <w:rsid w:val="0047795F"/>
    <w:rsid w:val="004819D9"/>
    <w:rsid w:val="00482AA1"/>
    <w:rsid w:val="00482DD9"/>
    <w:rsid w:val="004835A3"/>
    <w:rsid w:val="004837D1"/>
    <w:rsid w:val="00483943"/>
    <w:rsid w:val="00485764"/>
    <w:rsid w:val="00485A2D"/>
    <w:rsid w:val="00485C7E"/>
    <w:rsid w:val="00485F39"/>
    <w:rsid w:val="00486219"/>
    <w:rsid w:val="00486755"/>
    <w:rsid w:val="00486982"/>
    <w:rsid w:val="00487237"/>
    <w:rsid w:val="004879E3"/>
    <w:rsid w:val="00487BCB"/>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5EE6"/>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6D09"/>
    <w:rsid w:val="004B73EB"/>
    <w:rsid w:val="004B783F"/>
    <w:rsid w:val="004C0623"/>
    <w:rsid w:val="004C0A9C"/>
    <w:rsid w:val="004C0E08"/>
    <w:rsid w:val="004C1003"/>
    <w:rsid w:val="004C1329"/>
    <w:rsid w:val="004C1829"/>
    <w:rsid w:val="004C19DF"/>
    <w:rsid w:val="004C1B00"/>
    <w:rsid w:val="004C219A"/>
    <w:rsid w:val="004C3AD6"/>
    <w:rsid w:val="004C4227"/>
    <w:rsid w:val="004C4B1D"/>
    <w:rsid w:val="004C53D8"/>
    <w:rsid w:val="004C5872"/>
    <w:rsid w:val="004C6222"/>
    <w:rsid w:val="004C66F1"/>
    <w:rsid w:val="004C6C5C"/>
    <w:rsid w:val="004C7412"/>
    <w:rsid w:val="004C7937"/>
    <w:rsid w:val="004C7F29"/>
    <w:rsid w:val="004C7F37"/>
    <w:rsid w:val="004D00D6"/>
    <w:rsid w:val="004D0D39"/>
    <w:rsid w:val="004D124A"/>
    <w:rsid w:val="004D1781"/>
    <w:rsid w:val="004D1AD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1AB"/>
    <w:rsid w:val="004E0D66"/>
    <w:rsid w:val="004E1823"/>
    <w:rsid w:val="004E22D1"/>
    <w:rsid w:val="004E23A7"/>
    <w:rsid w:val="004E2554"/>
    <w:rsid w:val="004E46A3"/>
    <w:rsid w:val="004E5418"/>
    <w:rsid w:val="004E61B6"/>
    <w:rsid w:val="004E68D9"/>
    <w:rsid w:val="004E6B02"/>
    <w:rsid w:val="004E76F5"/>
    <w:rsid w:val="004F04BB"/>
    <w:rsid w:val="004F16E2"/>
    <w:rsid w:val="004F1A5F"/>
    <w:rsid w:val="004F21EE"/>
    <w:rsid w:val="004F4010"/>
    <w:rsid w:val="004F52E1"/>
    <w:rsid w:val="004F5348"/>
    <w:rsid w:val="004F5986"/>
    <w:rsid w:val="004F5A45"/>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658"/>
    <w:rsid w:val="0050706F"/>
    <w:rsid w:val="005079F0"/>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2E27"/>
    <w:rsid w:val="0052439D"/>
    <w:rsid w:val="0052527C"/>
    <w:rsid w:val="005256B0"/>
    <w:rsid w:val="00525BF0"/>
    <w:rsid w:val="00525C2F"/>
    <w:rsid w:val="0052632B"/>
    <w:rsid w:val="00526671"/>
    <w:rsid w:val="00526760"/>
    <w:rsid w:val="00526855"/>
    <w:rsid w:val="0052762B"/>
    <w:rsid w:val="00530694"/>
    <w:rsid w:val="00530791"/>
    <w:rsid w:val="00531682"/>
    <w:rsid w:val="005316A6"/>
    <w:rsid w:val="005316F1"/>
    <w:rsid w:val="005318CE"/>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4E84"/>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17C"/>
    <w:rsid w:val="00555B20"/>
    <w:rsid w:val="00556329"/>
    <w:rsid w:val="00556607"/>
    <w:rsid w:val="00556BF2"/>
    <w:rsid w:val="00556E2F"/>
    <w:rsid w:val="00556EF2"/>
    <w:rsid w:val="005571DB"/>
    <w:rsid w:val="00557222"/>
    <w:rsid w:val="005579E4"/>
    <w:rsid w:val="00557BB4"/>
    <w:rsid w:val="00560B9E"/>
    <w:rsid w:val="00560D25"/>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4E"/>
    <w:rsid w:val="005839FC"/>
    <w:rsid w:val="00583D29"/>
    <w:rsid w:val="00583F21"/>
    <w:rsid w:val="0058454D"/>
    <w:rsid w:val="0058532E"/>
    <w:rsid w:val="00585A04"/>
    <w:rsid w:val="005864A9"/>
    <w:rsid w:val="005864C2"/>
    <w:rsid w:val="005864FA"/>
    <w:rsid w:val="00586956"/>
    <w:rsid w:val="00586B16"/>
    <w:rsid w:val="00586B2C"/>
    <w:rsid w:val="0058730A"/>
    <w:rsid w:val="005873F2"/>
    <w:rsid w:val="00587942"/>
    <w:rsid w:val="005900EC"/>
    <w:rsid w:val="00590164"/>
    <w:rsid w:val="005902F9"/>
    <w:rsid w:val="00590995"/>
    <w:rsid w:val="00590BE8"/>
    <w:rsid w:val="00590EBF"/>
    <w:rsid w:val="00591628"/>
    <w:rsid w:val="00592794"/>
    <w:rsid w:val="0059288B"/>
    <w:rsid w:val="005929A6"/>
    <w:rsid w:val="00592BDF"/>
    <w:rsid w:val="0059400F"/>
    <w:rsid w:val="00594704"/>
    <w:rsid w:val="00595F91"/>
    <w:rsid w:val="00596617"/>
    <w:rsid w:val="00596ADF"/>
    <w:rsid w:val="00596EA2"/>
    <w:rsid w:val="00597401"/>
    <w:rsid w:val="005A09B5"/>
    <w:rsid w:val="005A0D29"/>
    <w:rsid w:val="005A0EB5"/>
    <w:rsid w:val="005A1883"/>
    <w:rsid w:val="005A18EE"/>
    <w:rsid w:val="005A1B4F"/>
    <w:rsid w:val="005A2454"/>
    <w:rsid w:val="005A2A9B"/>
    <w:rsid w:val="005A3CCD"/>
    <w:rsid w:val="005A41E4"/>
    <w:rsid w:val="005A477E"/>
    <w:rsid w:val="005A48F1"/>
    <w:rsid w:val="005A4ABF"/>
    <w:rsid w:val="005A6232"/>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733"/>
    <w:rsid w:val="005B4DEC"/>
    <w:rsid w:val="005B622A"/>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819"/>
    <w:rsid w:val="005C7F18"/>
    <w:rsid w:val="005D01DA"/>
    <w:rsid w:val="005D0696"/>
    <w:rsid w:val="005D0891"/>
    <w:rsid w:val="005D124A"/>
    <w:rsid w:val="005D12D6"/>
    <w:rsid w:val="005D1CF3"/>
    <w:rsid w:val="005D230D"/>
    <w:rsid w:val="005D2B9B"/>
    <w:rsid w:val="005D590A"/>
    <w:rsid w:val="005D59BB"/>
    <w:rsid w:val="005D5E5B"/>
    <w:rsid w:val="005D626D"/>
    <w:rsid w:val="005D6338"/>
    <w:rsid w:val="005D6757"/>
    <w:rsid w:val="005D67F2"/>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D07"/>
    <w:rsid w:val="005E5E8F"/>
    <w:rsid w:val="005E611E"/>
    <w:rsid w:val="005E676A"/>
    <w:rsid w:val="005E6A78"/>
    <w:rsid w:val="005E6E15"/>
    <w:rsid w:val="005E70C8"/>
    <w:rsid w:val="005E7ABA"/>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1A0C"/>
    <w:rsid w:val="006034A7"/>
    <w:rsid w:val="00604275"/>
    <w:rsid w:val="00604847"/>
    <w:rsid w:val="00604D12"/>
    <w:rsid w:val="00604DDD"/>
    <w:rsid w:val="00604E0E"/>
    <w:rsid w:val="00605A45"/>
    <w:rsid w:val="00605EE9"/>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7106"/>
    <w:rsid w:val="006173C6"/>
    <w:rsid w:val="00617417"/>
    <w:rsid w:val="00617546"/>
    <w:rsid w:val="00617675"/>
    <w:rsid w:val="006177D1"/>
    <w:rsid w:val="006179DE"/>
    <w:rsid w:val="00620411"/>
    <w:rsid w:val="00620799"/>
    <w:rsid w:val="0062093A"/>
    <w:rsid w:val="00621A09"/>
    <w:rsid w:val="00621C92"/>
    <w:rsid w:val="00621DB7"/>
    <w:rsid w:val="0062253F"/>
    <w:rsid w:val="00622921"/>
    <w:rsid w:val="00622F15"/>
    <w:rsid w:val="0062322C"/>
    <w:rsid w:val="00623E86"/>
    <w:rsid w:val="0062435A"/>
    <w:rsid w:val="00624DAC"/>
    <w:rsid w:val="00625F3F"/>
    <w:rsid w:val="00626C0D"/>
    <w:rsid w:val="00627034"/>
    <w:rsid w:val="00627285"/>
    <w:rsid w:val="00627325"/>
    <w:rsid w:val="006274B4"/>
    <w:rsid w:val="0062751C"/>
    <w:rsid w:val="006276A9"/>
    <w:rsid w:val="0063099F"/>
    <w:rsid w:val="00630BD3"/>
    <w:rsid w:val="00631142"/>
    <w:rsid w:val="00631C31"/>
    <w:rsid w:val="00631C54"/>
    <w:rsid w:val="0063224E"/>
    <w:rsid w:val="006328D9"/>
    <w:rsid w:val="00632E8A"/>
    <w:rsid w:val="006330F0"/>
    <w:rsid w:val="006331FF"/>
    <w:rsid w:val="00633786"/>
    <w:rsid w:val="00633CB5"/>
    <w:rsid w:val="00634B66"/>
    <w:rsid w:val="00634BA2"/>
    <w:rsid w:val="00635498"/>
    <w:rsid w:val="0063584D"/>
    <w:rsid w:val="006358D6"/>
    <w:rsid w:val="006364A9"/>
    <w:rsid w:val="006365C0"/>
    <w:rsid w:val="006368D3"/>
    <w:rsid w:val="0063760F"/>
    <w:rsid w:val="00637815"/>
    <w:rsid w:val="00637A9A"/>
    <w:rsid w:val="00640DFF"/>
    <w:rsid w:val="00641B92"/>
    <w:rsid w:val="00641BD1"/>
    <w:rsid w:val="00642066"/>
    <w:rsid w:val="006424E5"/>
    <w:rsid w:val="006427D6"/>
    <w:rsid w:val="0064297A"/>
    <w:rsid w:val="006434C4"/>
    <w:rsid w:val="006439E0"/>
    <w:rsid w:val="00643FC5"/>
    <w:rsid w:val="00644161"/>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47DD3"/>
    <w:rsid w:val="006500E4"/>
    <w:rsid w:val="00650700"/>
    <w:rsid w:val="00650D8D"/>
    <w:rsid w:val="00651140"/>
    <w:rsid w:val="00651465"/>
    <w:rsid w:val="00651DEC"/>
    <w:rsid w:val="00652A0C"/>
    <w:rsid w:val="00653196"/>
    <w:rsid w:val="00653279"/>
    <w:rsid w:val="006535DD"/>
    <w:rsid w:val="006540F6"/>
    <w:rsid w:val="006550A4"/>
    <w:rsid w:val="0065515B"/>
    <w:rsid w:val="006551B4"/>
    <w:rsid w:val="006554D3"/>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5E21"/>
    <w:rsid w:val="00666499"/>
    <w:rsid w:val="00666869"/>
    <w:rsid w:val="00666A8C"/>
    <w:rsid w:val="00666F9C"/>
    <w:rsid w:val="006673E9"/>
    <w:rsid w:val="00667547"/>
    <w:rsid w:val="0066794D"/>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92D"/>
    <w:rsid w:val="00690B50"/>
    <w:rsid w:val="00690BA3"/>
    <w:rsid w:val="0069121E"/>
    <w:rsid w:val="00691346"/>
    <w:rsid w:val="00691389"/>
    <w:rsid w:val="006915E4"/>
    <w:rsid w:val="006930A3"/>
    <w:rsid w:val="006933C9"/>
    <w:rsid w:val="0069446A"/>
    <w:rsid w:val="00694768"/>
    <w:rsid w:val="00694D5D"/>
    <w:rsid w:val="00694E59"/>
    <w:rsid w:val="006955A5"/>
    <w:rsid w:val="00695BB8"/>
    <w:rsid w:val="00696F88"/>
    <w:rsid w:val="0069733E"/>
    <w:rsid w:val="006977CC"/>
    <w:rsid w:val="006A0455"/>
    <w:rsid w:val="006A0685"/>
    <w:rsid w:val="006A0CB5"/>
    <w:rsid w:val="006A0D71"/>
    <w:rsid w:val="006A15DE"/>
    <w:rsid w:val="006A1830"/>
    <w:rsid w:val="006A2804"/>
    <w:rsid w:val="006A3056"/>
    <w:rsid w:val="006A35BD"/>
    <w:rsid w:val="006A369C"/>
    <w:rsid w:val="006A3874"/>
    <w:rsid w:val="006A395C"/>
    <w:rsid w:val="006A46A7"/>
    <w:rsid w:val="006A4A4E"/>
    <w:rsid w:val="006A5591"/>
    <w:rsid w:val="006A571E"/>
    <w:rsid w:val="006A5825"/>
    <w:rsid w:val="006A5C86"/>
    <w:rsid w:val="006A60DA"/>
    <w:rsid w:val="006A6D6C"/>
    <w:rsid w:val="006A7836"/>
    <w:rsid w:val="006A79BA"/>
    <w:rsid w:val="006B0018"/>
    <w:rsid w:val="006B06D5"/>
    <w:rsid w:val="006B06DF"/>
    <w:rsid w:val="006B106C"/>
    <w:rsid w:val="006B1CCC"/>
    <w:rsid w:val="006B1FBC"/>
    <w:rsid w:val="006B264B"/>
    <w:rsid w:val="006B29E3"/>
    <w:rsid w:val="006B3348"/>
    <w:rsid w:val="006B35C6"/>
    <w:rsid w:val="006B3728"/>
    <w:rsid w:val="006B3A53"/>
    <w:rsid w:val="006B3C45"/>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E81"/>
    <w:rsid w:val="006C43FA"/>
    <w:rsid w:val="006C4547"/>
    <w:rsid w:val="006C4647"/>
    <w:rsid w:val="006C4DD1"/>
    <w:rsid w:val="006C4EA6"/>
    <w:rsid w:val="006C5695"/>
    <w:rsid w:val="006C59F3"/>
    <w:rsid w:val="006C64E5"/>
    <w:rsid w:val="006C69F1"/>
    <w:rsid w:val="006C6E8D"/>
    <w:rsid w:val="006D07F7"/>
    <w:rsid w:val="006D0DAB"/>
    <w:rsid w:val="006D135E"/>
    <w:rsid w:val="006D1397"/>
    <w:rsid w:val="006D16AD"/>
    <w:rsid w:val="006D19DC"/>
    <w:rsid w:val="006D1AB2"/>
    <w:rsid w:val="006D1FD3"/>
    <w:rsid w:val="006D239C"/>
    <w:rsid w:val="006D25C7"/>
    <w:rsid w:val="006D296A"/>
    <w:rsid w:val="006D31C3"/>
    <w:rsid w:val="006D408E"/>
    <w:rsid w:val="006D4D8C"/>
    <w:rsid w:val="006D5ED9"/>
    <w:rsid w:val="006D6620"/>
    <w:rsid w:val="006D69F9"/>
    <w:rsid w:val="006D7020"/>
    <w:rsid w:val="006D7219"/>
    <w:rsid w:val="006E09A8"/>
    <w:rsid w:val="006E0CC1"/>
    <w:rsid w:val="006E0F17"/>
    <w:rsid w:val="006E12C2"/>
    <w:rsid w:val="006E1301"/>
    <w:rsid w:val="006E1524"/>
    <w:rsid w:val="006E159E"/>
    <w:rsid w:val="006E1D2E"/>
    <w:rsid w:val="006E3403"/>
    <w:rsid w:val="006E3408"/>
    <w:rsid w:val="006E3575"/>
    <w:rsid w:val="006E3A57"/>
    <w:rsid w:val="006E3B03"/>
    <w:rsid w:val="006E5297"/>
    <w:rsid w:val="006E5383"/>
    <w:rsid w:val="006E54E1"/>
    <w:rsid w:val="006E54F5"/>
    <w:rsid w:val="006E5C1E"/>
    <w:rsid w:val="006E615D"/>
    <w:rsid w:val="006E662D"/>
    <w:rsid w:val="006E6697"/>
    <w:rsid w:val="006E684B"/>
    <w:rsid w:val="006E6DFA"/>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274"/>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289"/>
    <w:rsid w:val="007253BB"/>
    <w:rsid w:val="00725E58"/>
    <w:rsid w:val="007265B2"/>
    <w:rsid w:val="0072693B"/>
    <w:rsid w:val="00726AC1"/>
    <w:rsid w:val="00726CE6"/>
    <w:rsid w:val="0072792D"/>
    <w:rsid w:val="00727AEE"/>
    <w:rsid w:val="00730ED3"/>
    <w:rsid w:val="00731071"/>
    <w:rsid w:val="00731270"/>
    <w:rsid w:val="0073137A"/>
    <w:rsid w:val="00731526"/>
    <w:rsid w:val="0073196A"/>
    <w:rsid w:val="0073218C"/>
    <w:rsid w:val="007329AB"/>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422"/>
    <w:rsid w:val="00740A38"/>
    <w:rsid w:val="0074168D"/>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9EE"/>
    <w:rsid w:val="00756C7B"/>
    <w:rsid w:val="00756E3A"/>
    <w:rsid w:val="007605E9"/>
    <w:rsid w:val="00760C9D"/>
    <w:rsid w:val="007619AD"/>
    <w:rsid w:val="00761BA6"/>
    <w:rsid w:val="00761F36"/>
    <w:rsid w:val="00764778"/>
    <w:rsid w:val="00765421"/>
    <w:rsid w:val="0076546D"/>
    <w:rsid w:val="00766479"/>
    <w:rsid w:val="00766751"/>
    <w:rsid w:val="00766A2B"/>
    <w:rsid w:val="00766F3F"/>
    <w:rsid w:val="007670F0"/>
    <w:rsid w:val="0076798E"/>
    <w:rsid w:val="00767AB8"/>
    <w:rsid w:val="00767B7B"/>
    <w:rsid w:val="007702D5"/>
    <w:rsid w:val="00770C60"/>
    <w:rsid w:val="00770E01"/>
    <w:rsid w:val="00770E78"/>
    <w:rsid w:val="00770EF5"/>
    <w:rsid w:val="0077108D"/>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10AF"/>
    <w:rsid w:val="007832CA"/>
    <w:rsid w:val="0078348D"/>
    <w:rsid w:val="007848B7"/>
    <w:rsid w:val="007857D8"/>
    <w:rsid w:val="00786000"/>
    <w:rsid w:val="00786007"/>
    <w:rsid w:val="0078603F"/>
    <w:rsid w:val="007860C0"/>
    <w:rsid w:val="00786356"/>
    <w:rsid w:val="007864C8"/>
    <w:rsid w:val="00786531"/>
    <w:rsid w:val="00786CD9"/>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0BD3"/>
    <w:rsid w:val="007B27C2"/>
    <w:rsid w:val="007B283C"/>
    <w:rsid w:val="007B2FBF"/>
    <w:rsid w:val="007B34A4"/>
    <w:rsid w:val="007B3C0B"/>
    <w:rsid w:val="007B3E3C"/>
    <w:rsid w:val="007B3E89"/>
    <w:rsid w:val="007B4292"/>
    <w:rsid w:val="007B5F0C"/>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3F09"/>
    <w:rsid w:val="007C44A3"/>
    <w:rsid w:val="007C5299"/>
    <w:rsid w:val="007C53D3"/>
    <w:rsid w:val="007C5652"/>
    <w:rsid w:val="007C5C32"/>
    <w:rsid w:val="007C5CF0"/>
    <w:rsid w:val="007C61DB"/>
    <w:rsid w:val="007C6201"/>
    <w:rsid w:val="007C7CF6"/>
    <w:rsid w:val="007D011A"/>
    <w:rsid w:val="007D0422"/>
    <w:rsid w:val="007D14AE"/>
    <w:rsid w:val="007D20FC"/>
    <w:rsid w:val="007D2205"/>
    <w:rsid w:val="007D26C1"/>
    <w:rsid w:val="007D2D68"/>
    <w:rsid w:val="007D2E32"/>
    <w:rsid w:val="007D3207"/>
    <w:rsid w:val="007D35BE"/>
    <w:rsid w:val="007D3CFF"/>
    <w:rsid w:val="007D42F7"/>
    <w:rsid w:val="007D43FC"/>
    <w:rsid w:val="007D55A4"/>
    <w:rsid w:val="007D57C7"/>
    <w:rsid w:val="007D5AA6"/>
    <w:rsid w:val="007D5F98"/>
    <w:rsid w:val="007D6903"/>
    <w:rsid w:val="007D69DB"/>
    <w:rsid w:val="007D6AF3"/>
    <w:rsid w:val="007D6E1E"/>
    <w:rsid w:val="007D726E"/>
    <w:rsid w:val="007D76EE"/>
    <w:rsid w:val="007D77FB"/>
    <w:rsid w:val="007D7DC9"/>
    <w:rsid w:val="007E0487"/>
    <w:rsid w:val="007E0849"/>
    <w:rsid w:val="007E0C31"/>
    <w:rsid w:val="007E0DD3"/>
    <w:rsid w:val="007E179E"/>
    <w:rsid w:val="007E2217"/>
    <w:rsid w:val="007E2225"/>
    <w:rsid w:val="007E25A6"/>
    <w:rsid w:val="007E28E0"/>
    <w:rsid w:val="007E28E3"/>
    <w:rsid w:val="007E2C73"/>
    <w:rsid w:val="007E2D35"/>
    <w:rsid w:val="007E2FD9"/>
    <w:rsid w:val="007E34E3"/>
    <w:rsid w:val="007E3DB5"/>
    <w:rsid w:val="007E3ED4"/>
    <w:rsid w:val="007E4FEC"/>
    <w:rsid w:val="007E52F4"/>
    <w:rsid w:val="007E5A80"/>
    <w:rsid w:val="007E5F5F"/>
    <w:rsid w:val="007E639E"/>
    <w:rsid w:val="007E66C3"/>
    <w:rsid w:val="007E6CAD"/>
    <w:rsid w:val="007E6E66"/>
    <w:rsid w:val="007E7153"/>
    <w:rsid w:val="007E7858"/>
    <w:rsid w:val="007F0BBF"/>
    <w:rsid w:val="007F0C3A"/>
    <w:rsid w:val="007F1254"/>
    <w:rsid w:val="007F13E2"/>
    <w:rsid w:val="007F146B"/>
    <w:rsid w:val="007F1720"/>
    <w:rsid w:val="007F1B05"/>
    <w:rsid w:val="007F20BA"/>
    <w:rsid w:val="007F2CE5"/>
    <w:rsid w:val="007F2EB7"/>
    <w:rsid w:val="007F31A0"/>
    <w:rsid w:val="007F3343"/>
    <w:rsid w:val="007F39E0"/>
    <w:rsid w:val="007F4105"/>
    <w:rsid w:val="007F4304"/>
    <w:rsid w:val="007F43AF"/>
    <w:rsid w:val="007F481D"/>
    <w:rsid w:val="007F4B9F"/>
    <w:rsid w:val="007F5532"/>
    <w:rsid w:val="007F5C28"/>
    <w:rsid w:val="007F6371"/>
    <w:rsid w:val="007F70A4"/>
    <w:rsid w:val="007F70FA"/>
    <w:rsid w:val="007F72B6"/>
    <w:rsid w:val="007F7403"/>
    <w:rsid w:val="007F7471"/>
    <w:rsid w:val="007F750B"/>
    <w:rsid w:val="007F7A9C"/>
    <w:rsid w:val="007F7AEC"/>
    <w:rsid w:val="007F7CEB"/>
    <w:rsid w:val="00801A7B"/>
    <w:rsid w:val="00801A96"/>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1E6F"/>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46D"/>
    <w:rsid w:val="0082162D"/>
    <w:rsid w:val="008216E6"/>
    <w:rsid w:val="00821CD7"/>
    <w:rsid w:val="00822185"/>
    <w:rsid w:val="00822CDE"/>
    <w:rsid w:val="00822EB2"/>
    <w:rsid w:val="008238C5"/>
    <w:rsid w:val="0082418F"/>
    <w:rsid w:val="008241C9"/>
    <w:rsid w:val="008258E0"/>
    <w:rsid w:val="008262FC"/>
    <w:rsid w:val="008263F4"/>
    <w:rsid w:val="00830103"/>
    <w:rsid w:val="00830236"/>
    <w:rsid w:val="008304F9"/>
    <w:rsid w:val="00831007"/>
    <w:rsid w:val="0083115C"/>
    <w:rsid w:val="008311FC"/>
    <w:rsid w:val="008314E4"/>
    <w:rsid w:val="00831A43"/>
    <w:rsid w:val="00831E21"/>
    <w:rsid w:val="00832360"/>
    <w:rsid w:val="00832BDC"/>
    <w:rsid w:val="00832BDE"/>
    <w:rsid w:val="00832ED2"/>
    <w:rsid w:val="008330F9"/>
    <w:rsid w:val="00833353"/>
    <w:rsid w:val="00833463"/>
    <w:rsid w:val="00833473"/>
    <w:rsid w:val="0083482A"/>
    <w:rsid w:val="00835352"/>
    <w:rsid w:val="00835D85"/>
    <w:rsid w:val="008367F0"/>
    <w:rsid w:val="00836B47"/>
    <w:rsid w:val="00837381"/>
    <w:rsid w:val="00837B00"/>
    <w:rsid w:val="00837D26"/>
    <w:rsid w:val="00840109"/>
    <w:rsid w:val="008401D6"/>
    <w:rsid w:val="00840364"/>
    <w:rsid w:val="0084058A"/>
    <w:rsid w:val="008407FC"/>
    <w:rsid w:val="00840EC5"/>
    <w:rsid w:val="00841331"/>
    <w:rsid w:val="0084197B"/>
    <w:rsid w:val="00841DEF"/>
    <w:rsid w:val="00841E99"/>
    <w:rsid w:val="00842DC0"/>
    <w:rsid w:val="00842E3F"/>
    <w:rsid w:val="00842EA5"/>
    <w:rsid w:val="00842FE0"/>
    <w:rsid w:val="00843047"/>
    <w:rsid w:val="008435F4"/>
    <w:rsid w:val="008437FF"/>
    <w:rsid w:val="008444F9"/>
    <w:rsid w:val="0084482E"/>
    <w:rsid w:val="00844EA3"/>
    <w:rsid w:val="00844ED4"/>
    <w:rsid w:val="008453A5"/>
    <w:rsid w:val="008463F6"/>
    <w:rsid w:val="00846DE8"/>
    <w:rsid w:val="00846FB0"/>
    <w:rsid w:val="0084720C"/>
    <w:rsid w:val="00847857"/>
    <w:rsid w:val="00847930"/>
    <w:rsid w:val="00847DEC"/>
    <w:rsid w:val="0085035D"/>
    <w:rsid w:val="00850933"/>
    <w:rsid w:val="00850FF1"/>
    <w:rsid w:val="00851F14"/>
    <w:rsid w:val="0085231D"/>
    <w:rsid w:val="0085268A"/>
    <w:rsid w:val="008529B4"/>
    <w:rsid w:val="0085352E"/>
    <w:rsid w:val="0085385A"/>
    <w:rsid w:val="00853DE6"/>
    <w:rsid w:val="00853E45"/>
    <w:rsid w:val="00853FFE"/>
    <w:rsid w:val="008547AE"/>
    <w:rsid w:val="0085498E"/>
    <w:rsid w:val="0085567B"/>
    <w:rsid w:val="00855690"/>
    <w:rsid w:val="00855F51"/>
    <w:rsid w:val="00855F63"/>
    <w:rsid w:val="00856475"/>
    <w:rsid w:val="00856E70"/>
    <w:rsid w:val="0085727F"/>
    <w:rsid w:val="008575B1"/>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928"/>
    <w:rsid w:val="00867E17"/>
    <w:rsid w:val="00870A83"/>
    <w:rsid w:val="00871644"/>
    <w:rsid w:val="00872029"/>
    <w:rsid w:val="0087220C"/>
    <w:rsid w:val="008723FD"/>
    <w:rsid w:val="008724BA"/>
    <w:rsid w:val="00874211"/>
    <w:rsid w:val="00874A32"/>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6A80"/>
    <w:rsid w:val="00897018"/>
    <w:rsid w:val="008970C1"/>
    <w:rsid w:val="008977C3"/>
    <w:rsid w:val="00897C3C"/>
    <w:rsid w:val="008A0403"/>
    <w:rsid w:val="008A0D8D"/>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11"/>
    <w:rsid w:val="008A6776"/>
    <w:rsid w:val="008A6BD4"/>
    <w:rsid w:val="008A6BDC"/>
    <w:rsid w:val="008A7EB6"/>
    <w:rsid w:val="008B0C3B"/>
    <w:rsid w:val="008B0F35"/>
    <w:rsid w:val="008B11F3"/>
    <w:rsid w:val="008B1443"/>
    <w:rsid w:val="008B19EA"/>
    <w:rsid w:val="008B1B00"/>
    <w:rsid w:val="008B1EB9"/>
    <w:rsid w:val="008B22CE"/>
    <w:rsid w:val="008B234D"/>
    <w:rsid w:val="008B2998"/>
    <w:rsid w:val="008B3131"/>
    <w:rsid w:val="008B319E"/>
    <w:rsid w:val="008B35A0"/>
    <w:rsid w:val="008B3852"/>
    <w:rsid w:val="008B3D1E"/>
    <w:rsid w:val="008B4AF5"/>
    <w:rsid w:val="008B529D"/>
    <w:rsid w:val="008B5978"/>
    <w:rsid w:val="008B5AD7"/>
    <w:rsid w:val="008B5F51"/>
    <w:rsid w:val="008B60FA"/>
    <w:rsid w:val="008B68BF"/>
    <w:rsid w:val="008B6EC4"/>
    <w:rsid w:val="008B79F1"/>
    <w:rsid w:val="008B7F5D"/>
    <w:rsid w:val="008C021E"/>
    <w:rsid w:val="008C05A9"/>
    <w:rsid w:val="008C1590"/>
    <w:rsid w:val="008C1AA5"/>
    <w:rsid w:val="008C1B28"/>
    <w:rsid w:val="008C1CEE"/>
    <w:rsid w:val="008C2737"/>
    <w:rsid w:val="008C33BB"/>
    <w:rsid w:val="008C3574"/>
    <w:rsid w:val="008C38C3"/>
    <w:rsid w:val="008C3CEE"/>
    <w:rsid w:val="008C3D9A"/>
    <w:rsid w:val="008C4057"/>
    <w:rsid w:val="008C4362"/>
    <w:rsid w:val="008C45BD"/>
    <w:rsid w:val="008C49AC"/>
    <w:rsid w:val="008C51AC"/>
    <w:rsid w:val="008C57A9"/>
    <w:rsid w:val="008C6315"/>
    <w:rsid w:val="008C7CC9"/>
    <w:rsid w:val="008C7EAC"/>
    <w:rsid w:val="008D0797"/>
    <w:rsid w:val="008D0A2C"/>
    <w:rsid w:val="008D0F24"/>
    <w:rsid w:val="008D169B"/>
    <w:rsid w:val="008D233A"/>
    <w:rsid w:val="008D25C9"/>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16F"/>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0D"/>
    <w:rsid w:val="008F4063"/>
    <w:rsid w:val="008F4131"/>
    <w:rsid w:val="008F448A"/>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619"/>
    <w:rsid w:val="00902795"/>
    <w:rsid w:val="00902EDF"/>
    <w:rsid w:val="009031F3"/>
    <w:rsid w:val="009033A2"/>
    <w:rsid w:val="00904F84"/>
    <w:rsid w:val="009051EF"/>
    <w:rsid w:val="00905557"/>
    <w:rsid w:val="00905C08"/>
    <w:rsid w:val="00906E43"/>
    <w:rsid w:val="00910625"/>
    <w:rsid w:val="00910695"/>
    <w:rsid w:val="0091110C"/>
    <w:rsid w:val="009112E8"/>
    <w:rsid w:val="00911A11"/>
    <w:rsid w:val="00911C40"/>
    <w:rsid w:val="00912169"/>
    <w:rsid w:val="00912307"/>
    <w:rsid w:val="00912326"/>
    <w:rsid w:val="00913667"/>
    <w:rsid w:val="0091369A"/>
    <w:rsid w:val="00913BC7"/>
    <w:rsid w:val="009145CC"/>
    <w:rsid w:val="0091462B"/>
    <w:rsid w:val="009146C0"/>
    <w:rsid w:val="0091504A"/>
    <w:rsid w:val="00915129"/>
    <w:rsid w:val="0091598F"/>
    <w:rsid w:val="00915D60"/>
    <w:rsid w:val="00915F00"/>
    <w:rsid w:val="00916ED9"/>
    <w:rsid w:val="0091764F"/>
    <w:rsid w:val="00917A49"/>
    <w:rsid w:val="00917CA6"/>
    <w:rsid w:val="00920014"/>
    <w:rsid w:val="0092144F"/>
    <w:rsid w:val="00921DE6"/>
    <w:rsid w:val="009231BB"/>
    <w:rsid w:val="0092342A"/>
    <w:rsid w:val="009234A6"/>
    <w:rsid w:val="00923D36"/>
    <w:rsid w:val="00924145"/>
    <w:rsid w:val="009243B0"/>
    <w:rsid w:val="00925225"/>
    <w:rsid w:val="00925909"/>
    <w:rsid w:val="00925E77"/>
    <w:rsid w:val="0092635A"/>
    <w:rsid w:val="00926A10"/>
    <w:rsid w:val="009271B9"/>
    <w:rsid w:val="00927C62"/>
    <w:rsid w:val="0093032D"/>
    <w:rsid w:val="0093035B"/>
    <w:rsid w:val="0093061F"/>
    <w:rsid w:val="00930A38"/>
    <w:rsid w:val="009317C3"/>
    <w:rsid w:val="009326D7"/>
    <w:rsid w:val="00932D96"/>
    <w:rsid w:val="009338C7"/>
    <w:rsid w:val="0093394F"/>
    <w:rsid w:val="009339ED"/>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045E"/>
    <w:rsid w:val="0094135F"/>
    <w:rsid w:val="009427EC"/>
    <w:rsid w:val="009435E6"/>
    <w:rsid w:val="0094389F"/>
    <w:rsid w:val="00944791"/>
    <w:rsid w:val="00944AF1"/>
    <w:rsid w:val="00944F95"/>
    <w:rsid w:val="00945BE5"/>
    <w:rsid w:val="0094621E"/>
    <w:rsid w:val="00946931"/>
    <w:rsid w:val="00946C26"/>
    <w:rsid w:val="009470FF"/>
    <w:rsid w:val="00947F06"/>
    <w:rsid w:val="00950452"/>
    <w:rsid w:val="00950C61"/>
    <w:rsid w:val="00950D30"/>
    <w:rsid w:val="00951DE2"/>
    <w:rsid w:val="0095234C"/>
    <w:rsid w:val="0095253C"/>
    <w:rsid w:val="00953720"/>
    <w:rsid w:val="00953878"/>
    <w:rsid w:val="00953A7B"/>
    <w:rsid w:val="00953B12"/>
    <w:rsid w:val="00953E2B"/>
    <w:rsid w:val="00954B3D"/>
    <w:rsid w:val="00956143"/>
    <w:rsid w:val="00956922"/>
    <w:rsid w:val="00956ED3"/>
    <w:rsid w:val="009573AB"/>
    <w:rsid w:val="00957AF5"/>
    <w:rsid w:val="00957B45"/>
    <w:rsid w:val="00957F64"/>
    <w:rsid w:val="00960510"/>
    <w:rsid w:val="00960ADF"/>
    <w:rsid w:val="00960B93"/>
    <w:rsid w:val="0096101D"/>
    <w:rsid w:val="00961B38"/>
    <w:rsid w:val="009620DE"/>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15F"/>
    <w:rsid w:val="009824C3"/>
    <w:rsid w:val="00982D33"/>
    <w:rsid w:val="00982F1F"/>
    <w:rsid w:val="009831C4"/>
    <w:rsid w:val="009838BE"/>
    <w:rsid w:val="00983CB4"/>
    <w:rsid w:val="009845C3"/>
    <w:rsid w:val="009848B8"/>
    <w:rsid w:val="00984B50"/>
    <w:rsid w:val="00984CCD"/>
    <w:rsid w:val="00985D41"/>
    <w:rsid w:val="00985FFE"/>
    <w:rsid w:val="009860A7"/>
    <w:rsid w:val="009865DF"/>
    <w:rsid w:val="00986C52"/>
    <w:rsid w:val="00987C39"/>
    <w:rsid w:val="00987DF6"/>
    <w:rsid w:val="0099056B"/>
    <w:rsid w:val="009906EC"/>
    <w:rsid w:val="00990CD5"/>
    <w:rsid w:val="00990EEB"/>
    <w:rsid w:val="00991450"/>
    <w:rsid w:val="00992100"/>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B7EC5"/>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A4"/>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3F03"/>
    <w:rsid w:val="009E4618"/>
    <w:rsid w:val="009E4F63"/>
    <w:rsid w:val="009E5461"/>
    <w:rsid w:val="009E56F8"/>
    <w:rsid w:val="009E592B"/>
    <w:rsid w:val="009E6373"/>
    <w:rsid w:val="009E7332"/>
    <w:rsid w:val="009E7474"/>
    <w:rsid w:val="009E747F"/>
    <w:rsid w:val="009E7BC3"/>
    <w:rsid w:val="009F0CB4"/>
    <w:rsid w:val="009F1333"/>
    <w:rsid w:val="009F140E"/>
    <w:rsid w:val="009F2381"/>
    <w:rsid w:val="009F2759"/>
    <w:rsid w:val="009F2B99"/>
    <w:rsid w:val="009F3042"/>
    <w:rsid w:val="009F313C"/>
    <w:rsid w:val="009F33D0"/>
    <w:rsid w:val="009F5315"/>
    <w:rsid w:val="009F57A3"/>
    <w:rsid w:val="009F58D8"/>
    <w:rsid w:val="009F5965"/>
    <w:rsid w:val="009F6D75"/>
    <w:rsid w:val="009F71DE"/>
    <w:rsid w:val="009F77F9"/>
    <w:rsid w:val="009F795D"/>
    <w:rsid w:val="009F7D42"/>
    <w:rsid w:val="009F7E82"/>
    <w:rsid w:val="00A00133"/>
    <w:rsid w:val="00A004D0"/>
    <w:rsid w:val="00A00BA7"/>
    <w:rsid w:val="00A01457"/>
    <w:rsid w:val="00A017F2"/>
    <w:rsid w:val="00A01D05"/>
    <w:rsid w:val="00A023DA"/>
    <w:rsid w:val="00A02434"/>
    <w:rsid w:val="00A02D5B"/>
    <w:rsid w:val="00A03383"/>
    <w:rsid w:val="00A03A06"/>
    <w:rsid w:val="00A03EF3"/>
    <w:rsid w:val="00A03FF3"/>
    <w:rsid w:val="00A041D3"/>
    <w:rsid w:val="00A04286"/>
    <w:rsid w:val="00A04AB4"/>
    <w:rsid w:val="00A051E3"/>
    <w:rsid w:val="00A05753"/>
    <w:rsid w:val="00A05E1D"/>
    <w:rsid w:val="00A06276"/>
    <w:rsid w:val="00A064AB"/>
    <w:rsid w:val="00A067DE"/>
    <w:rsid w:val="00A07369"/>
    <w:rsid w:val="00A07B35"/>
    <w:rsid w:val="00A1011E"/>
    <w:rsid w:val="00A106B0"/>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804"/>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C6D"/>
    <w:rsid w:val="00A31B93"/>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964"/>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897"/>
    <w:rsid w:val="00A47926"/>
    <w:rsid w:val="00A47B1B"/>
    <w:rsid w:val="00A47F57"/>
    <w:rsid w:val="00A50141"/>
    <w:rsid w:val="00A50373"/>
    <w:rsid w:val="00A503C5"/>
    <w:rsid w:val="00A50486"/>
    <w:rsid w:val="00A50530"/>
    <w:rsid w:val="00A50C8D"/>
    <w:rsid w:val="00A50D6A"/>
    <w:rsid w:val="00A51194"/>
    <w:rsid w:val="00A5144B"/>
    <w:rsid w:val="00A52330"/>
    <w:rsid w:val="00A525F9"/>
    <w:rsid w:val="00A5274C"/>
    <w:rsid w:val="00A52C30"/>
    <w:rsid w:val="00A52EA5"/>
    <w:rsid w:val="00A53A07"/>
    <w:rsid w:val="00A53A63"/>
    <w:rsid w:val="00A548FC"/>
    <w:rsid w:val="00A554D0"/>
    <w:rsid w:val="00A55839"/>
    <w:rsid w:val="00A56490"/>
    <w:rsid w:val="00A56BD3"/>
    <w:rsid w:val="00A56D89"/>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A7A"/>
    <w:rsid w:val="00A83FCE"/>
    <w:rsid w:val="00A84867"/>
    <w:rsid w:val="00A85790"/>
    <w:rsid w:val="00A8586E"/>
    <w:rsid w:val="00A85AD9"/>
    <w:rsid w:val="00A85D91"/>
    <w:rsid w:val="00A860B5"/>
    <w:rsid w:val="00A86A3A"/>
    <w:rsid w:val="00A86C4D"/>
    <w:rsid w:val="00A874C5"/>
    <w:rsid w:val="00A90031"/>
    <w:rsid w:val="00A90569"/>
    <w:rsid w:val="00A90951"/>
    <w:rsid w:val="00A90986"/>
    <w:rsid w:val="00A9099E"/>
    <w:rsid w:val="00A90FAB"/>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398"/>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50C4"/>
    <w:rsid w:val="00AA584B"/>
    <w:rsid w:val="00AA604D"/>
    <w:rsid w:val="00AA605D"/>
    <w:rsid w:val="00AA62E6"/>
    <w:rsid w:val="00AA674B"/>
    <w:rsid w:val="00AA6BE8"/>
    <w:rsid w:val="00AA6D97"/>
    <w:rsid w:val="00AA6E54"/>
    <w:rsid w:val="00AA78D0"/>
    <w:rsid w:val="00AA7CE3"/>
    <w:rsid w:val="00AA7F08"/>
    <w:rsid w:val="00AB0900"/>
    <w:rsid w:val="00AB1467"/>
    <w:rsid w:val="00AB2139"/>
    <w:rsid w:val="00AB2257"/>
    <w:rsid w:val="00AB29F8"/>
    <w:rsid w:val="00AB35CA"/>
    <w:rsid w:val="00AB4242"/>
    <w:rsid w:val="00AB44C2"/>
    <w:rsid w:val="00AB552C"/>
    <w:rsid w:val="00AB5538"/>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D58"/>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D0141"/>
    <w:rsid w:val="00AD01A3"/>
    <w:rsid w:val="00AD098E"/>
    <w:rsid w:val="00AD1D7A"/>
    <w:rsid w:val="00AD1F47"/>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3297"/>
    <w:rsid w:val="00AF3579"/>
    <w:rsid w:val="00AF4E45"/>
    <w:rsid w:val="00AF4FB6"/>
    <w:rsid w:val="00AF50C4"/>
    <w:rsid w:val="00AF5B11"/>
    <w:rsid w:val="00AF5DAA"/>
    <w:rsid w:val="00AF7FEB"/>
    <w:rsid w:val="00B006E0"/>
    <w:rsid w:val="00B01301"/>
    <w:rsid w:val="00B01914"/>
    <w:rsid w:val="00B01D02"/>
    <w:rsid w:val="00B02414"/>
    <w:rsid w:val="00B029C7"/>
    <w:rsid w:val="00B029D8"/>
    <w:rsid w:val="00B02AE0"/>
    <w:rsid w:val="00B02F52"/>
    <w:rsid w:val="00B03C3F"/>
    <w:rsid w:val="00B04762"/>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34BC"/>
    <w:rsid w:val="00B1596D"/>
    <w:rsid w:val="00B1640F"/>
    <w:rsid w:val="00B167D7"/>
    <w:rsid w:val="00B169B1"/>
    <w:rsid w:val="00B16AF2"/>
    <w:rsid w:val="00B16EEF"/>
    <w:rsid w:val="00B1716A"/>
    <w:rsid w:val="00B17D5B"/>
    <w:rsid w:val="00B17DFB"/>
    <w:rsid w:val="00B22177"/>
    <w:rsid w:val="00B224D9"/>
    <w:rsid w:val="00B22DA6"/>
    <w:rsid w:val="00B22EBB"/>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3A"/>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2FE2"/>
    <w:rsid w:val="00B43111"/>
    <w:rsid w:val="00B43135"/>
    <w:rsid w:val="00B43516"/>
    <w:rsid w:val="00B43EC2"/>
    <w:rsid w:val="00B444DF"/>
    <w:rsid w:val="00B4459E"/>
    <w:rsid w:val="00B44B0B"/>
    <w:rsid w:val="00B44F74"/>
    <w:rsid w:val="00B45243"/>
    <w:rsid w:val="00B452C1"/>
    <w:rsid w:val="00B452CB"/>
    <w:rsid w:val="00B4579E"/>
    <w:rsid w:val="00B458DE"/>
    <w:rsid w:val="00B459F6"/>
    <w:rsid w:val="00B46D69"/>
    <w:rsid w:val="00B470EF"/>
    <w:rsid w:val="00B47509"/>
    <w:rsid w:val="00B512C9"/>
    <w:rsid w:val="00B512DB"/>
    <w:rsid w:val="00B51B7A"/>
    <w:rsid w:val="00B52E22"/>
    <w:rsid w:val="00B52FFE"/>
    <w:rsid w:val="00B54490"/>
    <w:rsid w:val="00B54A96"/>
    <w:rsid w:val="00B55195"/>
    <w:rsid w:val="00B55383"/>
    <w:rsid w:val="00B553BD"/>
    <w:rsid w:val="00B55D02"/>
    <w:rsid w:val="00B565F1"/>
    <w:rsid w:val="00B56709"/>
    <w:rsid w:val="00B575BE"/>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36"/>
    <w:rsid w:val="00B65D41"/>
    <w:rsid w:val="00B65F77"/>
    <w:rsid w:val="00B660FB"/>
    <w:rsid w:val="00B6626B"/>
    <w:rsid w:val="00B66392"/>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0A3E"/>
    <w:rsid w:val="00B814EE"/>
    <w:rsid w:val="00B81941"/>
    <w:rsid w:val="00B82295"/>
    <w:rsid w:val="00B82750"/>
    <w:rsid w:val="00B82FA8"/>
    <w:rsid w:val="00B83694"/>
    <w:rsid w:val="00B83D94"/>
    <w:rsid w:val="00B83EAB"/>
    <w:rsid w:val="00B83FF6"/>
    <w:rsid w:val="00B84179"/>
    <w:rsid w:val="00B84388"/>
    <w:rsid w:val="00B845D3"/>
    <w:rsid w:val="00B845E6"/>
    <w:rsid w:val="00B84821"/>
    <w:rsid w:val="00B857FF"/>
    <w:rsid w:val="00B85807"/>
    <w:rsid w:val="00B861D9"/>
    <w:rsid w:val="00B86589"/>
    <w:rsid w:val="00B86F27"/>
    <w:rsid w:val="00B87AD4"/>
    <w:rsid w:val="00B87F30"/>
    <w:rsid w:val="00B90000"/>
    <w:rsid w:val="00B9129A"/>
    <w:rsid w:val="00B9157B"/>
    <w:rsid w:val="00B91DDC"/>
    <w:rsid w:val="00B924E1"/>
    <w:rsid w:val="00B925D4"/>
    <w:rsid w:val="00B927A3"/>
    <w:rsid w:val="00B92BBC"/>
    <w:rsid w:val="00B93934"/>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1AF"/>
    <w:rsid w:val="00BB442E"/>
    <w:rsid w:val="00BB488B"/>
    <w:rsid w:val="00BB4AD1"/>
    <w:rsid w:val="00BB50F1"/>
    <w:rsid w:val="00BB53F7"/>
    <w:rsid w:val="00BB5F3C"/>
    <w:rsid w:val="00BB6F5E"/>
    <w:rsid w:val="00BB70E7"/>
    <w:rsid w:val="00BB72C3"/>
    <w:rsid w:val="00BB7CEF"/>
    <w:rsid w:val="00BB7F9D"/>
    <w:rsid w:val="00BC0493"/>
    <w:rsid w:val="00BC059F"/>
    <w:rsid w:val="00BC09A7"/>
    <w:rsid w:val="00BC1714"/>
    <w:rsid w:val="00BC1C4B"/>
    <w:rsid w:val="00BC1D81"/>
    <w:rsid w:val="00BC218D"/>
    <w:rsid w:val="00BC225E"/>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694"/>
    <w:rsid w:val="00BD0782"/>
    <w:rsid w:val="00BD0DD5"/>
    <w:rsid w:val="00BD10F6"/>
    <w:rsid w:val="00BD1745"/>
    <w:rsid w:val="00BD1FC7"/>
    <w:rsid w:val="00BD2087"/>
    <w:rsid w:val="00BD21E2"/>
    <w:rsid w:val="00BD2345"/>
    <w:rsid w:val="00BD293D"/>
    <w:rsid w:val="00BD3AF3"/>
    <w:rsid w:val="00BD3B8E"/>
    <w:rsid w:val="00BD3E28"/>
    <w:rsid w:val="00BD3F50"/>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23D"/>
    <w:rsid w:val="00BE238A"/>
    <w:rsid w:val="00BE26B9"/>
    <w:rsid w:val="00BE277C"/>
    <w:rsid w:val="00BE354A"/>
    <w:rsid w:val="00BE3778"/>
    <w:rsid w:val="00BE38EA"/>
    <w:rsid w:val="00BE476F"/>
    <w:rsid w:val="00BE56DC"/>
    <w:rsid w:val="00BE66B0"/>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1ADC"/>
    <w:rsid w:val="00C11E6A"/>
    <w:rsid w:val="00C127B9"/>
    <w:rsid w:val="00C127DA"/>
    <w:rsid w:val="00C13B9C"/>
    <w:rsid w:val="00C146C6"/>
    <w:rsid w:val="00C17643"/>
    <w:rsid w:val="00C179A3"/>
    <w:rsid w:val="00C17B7F"/>
    <w:rsid w:val="00C204A9"/>
    <w:rsid w:val="00C2080B"/>
    <w:rsid w:val="00C20901"/>
    <w:rsid w:val="00C209C0"/>
    <w:rsid w:val="00C21405"/>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99E"/>
    <w:rsid w:val="00C41D95"/>
    <w:rsid w:val="00C4283F"/>
    <w:rsid w:val="00C42BAE"/>
    <w:rsid w:val="00C42FD8"/>
    <w:rsid w:val="00C437F1"/>
    <w:rsid w:val="00C43D1B"/>
    <w:rsid w:val="00C44AB9"/>
    <w:rsid w:val="00C44D3D"/>
    <w:rsid w:val="00C45A95"/>
    <w:rsid w:val="00C46D24"/>
    <w:rsid w:val="00C47ABA"/>
    <w:rsid w:val="00C5016D"/>
    <w:rsid w:val="00C50B47"/>
    <w:rsid w:val="00C50D30"/>
    <w:rsid w:val="00C51773"/>
    <w:rsid w:val="00C520C5"/>
    <w:rsid w:val="00C5230A"/>
    <w:rsid w:val="00C523A8"/>
    <w:rsid w:val="00C525C7"/>
    <w:rsid w:val="00C52639"/>
    <w:rsid w:val="00C5277F"/>
    <w:rsid w:val="00C52AE7"/>
    <w:rsid w:val="00C52C6D"/>
    <w:rsid w:val="00C52E23"/>
    <w:rsid w:val="00C53757"/>
    <w:rsid w:val="00C545D2"/>
    <w:rsid w:val="00C54772"/>
    <w:rsid w:val="00C54A7A"/>
    <w:rsid w:val="00C54AD5"/>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457"/>
    <w:rsid w:val="00C6157E"/>
    <w:rsid w:val="00C61875"/>
    <w:rsid w:val="00C61E67"/>
    <w:rsid w:val="00C620C9"/>
    <w:rsid w:val="00C62217"/>
    <w:rsid w:val="00C628FF"/>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2413"/>
    <w:rsid w:val="00C82447"/>
    <w:rsid w:val="00C828BC"/>
    <w:rsid w:val="00C82905"/>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216E"/>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7A1"/>
    <w:rsid w:val="00CA7927"/>
    <w:rsid w:val="00CA7A66"/>
    <w:rsid w:val="00CB0608"/>
    <w:rsid w:val="00CB0B33"/>
    <w:rsid w:val="00CB0E08"/>
    <w:rsid w:val="00CB116F"/>
    <w:rsid w:val="00CB1902"/>
    <w:rsid w:val="00CB1F9F"/>
    <w:rsid w:val="00CB2685"/>
    <w:rsid w:val="00CB2701"/>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7DD"/>
    <w:rsid w:val="00CC4EBE"/>
    <w:rsid w:val="00CC537D"/>
    <w:rsid w:val="00CC555D"/>
    <w:rsid w:val="00CC646C"/>
    <w:rsid w:val="00CC693F"/>
    <w:rsid w:val="00CC6E0B"/>
    <w:rsid w:val="00CC7EF1"/>
    <w:rsid w:val="00CD036C"/>
    <w:rsid w:val="00CD0459"/>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F0"/>
    <w:rsid w:val="00CE05F7"/>
    <w:rsid w:val="00CE06D5"/>
    <w:rsid w:val="00CE0A06"/>
    <w:rsid w:val="00CE0FDE"/>
    <w:rsid w:val="00CE118F"/>
    <w:rsid w:val="00CE1B85"/>
    <w:rsid w:val="00CE23CA"/>
    <w:rsid w:val="00CE2A15"/>
    <w:rsid w:val="00CE2A9D"/>
    <w:rsid w:val="00CE3F1A"/>
    <w:rsid w:val="00CE449C"/>
    <w:rsid w:val="00CE4D8A"/>
    <w:rsid w:val="00CE52A0"/>
    <w:rsid w:val="00CE5B99"/>
    <w:rsid w:val="00CE5F3A"/>
    <w:rsid w:val="00CE66DC"/>
    <w:rsid w:val="00CE6D23"/>
    <w:rsid w:val="00CE72B9"/>
    <w:rsid w:val="00CE74A8"/>
    <w:rsid w:val="00CE752E"/>
    <w:rsid w:val="00CE7BE0"/>
    <w:rsid w:val="00CF03AD"/>
    <w:rsid w:val="00CF0CC0"/>
    <w:rsid w:val="00CF11D3"/>
    <w:rsid w:val="00CF12AA"/>
    <w:rsid w:val="00CF15E7"/>
    <w:rsid w:val="00CF1696"/>
    <w:rsid w:val="00CF1715"/>
    <w:rsid w:val="00CF23A6"/>
    <w:rsid w:val="00CF2558"/>
    <w:rsid w:val="00CF271E"/>
    <w:rsid w:val="00CF28A3"/>
    <w:rsid w:val="00CF387C"/>
    <w:rsid w:val="00CF3ACD"/>
    <w:rsid w:val="00CF3FAB"/>
    <w:rsid w:val="00CF4F85"/>
    <w:rsid w:val="00CF5511"/>
    <w:rsid w:val="00CF57FF"/>
    <w:rsid w:val="00CF587C"/>
    <w:rsid w:val="00CF5BEE"/>
    <w:rsid w:val="00CF681C"/>
    <w:rsid w:val="00CF692C"/>
    <w:rsid w:val="00CF7DD7"/>
    <w:rsid w:val="00D01453"/>
    <w:rsid w:val="00D017E5"/>
    <w:rsid w:val="00D027FD"/>
    <w:rsid w:val="00D02ECC"/>
    <w:rsid w:val="00D02F4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0631"/>
    <w:rsid w:val="00D2166B"/>
    <w:rsid w:val="00D216B1"/>
    <w:rsid w:val="00D22231"/>
    <w:rsid w:val="00D22266"/>
    <w:rsid w:val="00D231ED"/>
    <w:rsid w:val="00D23225"/>
    <w:rsid w:val="00D23260"/>
    <w:rsid w:val="00D23AEC"/>
    <w:rsid w:val="00D23C52"/>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26D"/>
    <w:rsid w:val="00D3435E"/>
    <w:rsid w:val="00D34AEE"/>
    <w:rsid w:val="00D34AF5"/>
    <w:rsid w:val="00D34BEE"/>
    <w:rsid w:val="00D35342"/>
    <w:rsid w:val="00D35EF1"/>
    <w:rsid w:val="00D36122"/>
    <w:rsid w:val="00D36495"/>
    <w:rsid w:val="00D371FD"/>
    <w:rsid w:val="00D400E9"/>
    <w:rsid w:val="00D4057F"/>
    <w:rsid w:val="00D40C4B"/>
    <w:rsid w:val="00D41A63"/>
    <w:rsid w:val="00D41A9F"/>
    <w:rsid w:val="00D41FE7"/>
    <w:rsid w:val="00D421EA"/>
    <w:rsid w:val="00D431B5"/>
    <w:rsid w:val="00D431E7"/>
    <w:rsid w:val="00D44446"/>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1E7"/>
    <w:rsid w:val="00D56E57"/>
    <w:rsid w:val="00D570C2"/>
    <w:rsid w:val="00D573A6"/>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A1F"/>
    <w:rsid w:val="00D72CBB"/>
    <w:rsid w:val="00D72F37"/>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97CDF"/>
    <w:rsid w:val="00DA01F3"/>
    <w:rsid w:val="00DA127A"/>
    <w:rsid w:val="00DA18C9"/>
    <w:rsid w:val="00DA191A"/>
    <w:rsid w:val="00DA1C91"/>
    <w:rsid w:val="00DA1F6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29F"/>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CE1"/>
    <w:rsid w:val="00DD0DEC"/>
    <w:rsid w:val="00DD11F4"/>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5DE7"/>
    <w:rsid w:val="00DD671D"/>
    <w:rsid w:val="00DD6ADD"/>
    <w:rsid w:val="00DD709E"/>
    <w:rsid w:val="00DD7820"/>
    <w:rsid w:val="00DD7C2F"/>
    <w:rsid w:val="00DE06CD"/>
    <w:rsid w:val="00DE077B"/>
    <w:rsid w:val="00DE0C49"/>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53A"/>
    <w:rsid w:val="00DE79AB"/>
    <w:rsid w:val="00DE7CE8"/>
    <w:rsid w:val="00DF05B1"/>
    <w:rsid w:val="00DF05DC"/>
    <w:rsid w:val="00DF06C8"/>
    <w:rsid w:val="00DF0772"/>
    <w:rsid w:val="00DF089D"/>
    <w:rsid w:val="00DF0C82"/>
    <w:rsid w:val="00DF0DD7"/>
    <w:rsid w:val="00DF0E27"/>
    <w:rsid w:val="00DF2AD9"/>
    <w:rsid w:val="00DF37BA"/>
    <w:rsid w:val="00DF38FA"/>
    <w:rsid w:val="00DF489F"/>
    <w:rsid w:val="00DF520A"/>
    <w:rsid w:val="00DF53DD"/>
    <w:rsid w:val="00DF53EB"/>
    <w:rsid w:val="00DF5E33"/>
    <w:rsid w:val="00DF5E57"/>
    <w:rsid w:val="00DF6009"/>
    <w:rsid w:val="00DF66BA"/>
    <w:rsid w:val="00DF66D9"/>
    <w:rsid w:val="00DF6B9A"/>
    <w:rsid w:val="00DF6DBC"/>
    <w:rsid w:val="00DF718E"/>
    <w:rsid w:val="00DF7684"/>
    <w:rsid w:val="00DF7878"/>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5E95"/>
    <w:rsid w:val="00E07C0A"/>
    <w:rsid w:val="00E07F41"/>
    <w:rsid w:val="00E10D65"/>
    <w:rsid w:val="00E11A21"/>
    <w:rsid w:val="00E11C52"/>
    <w:rsid w:val="00E12243"/>
    <w:rsid w:val="00E1246D"/>
    <w:rsid w:val="00E128A8"/>
    <w:rsid w:val="00E13657"/>
    <w:rsid w:val="00E147B3"/>
    <w:rsid w:val="00E14BE8"/>
    <w:rsid w:val="00E157DE"/>
    <w:rsid w:val="00E165AB"/>
    <w:rsid w:val="00E17333"/>
    <w:rsid w:val="00E176A4"/>
    <w:rsid w:val="00E17A5D"/>
    <w:rsid w:val="00E17EAD"/>
    <w:rsid w:val="00E17F3C"/>
    <w:rsid w:val="00E211CF"/>
    <w:rsid w:val="00E214F2"/>
    <w:rsid w:val="00E228AA"/>
    <w:rsid w:val="00E22AC6"/>
    <w:rsid w:val="00E22D0A"/>
    <w:rsid w:val="00E23338"/>
    <w:rsid w:val="00E23C3E"/>
    <w:rsid w:val="00E24916"/>
    <w:rsid w:val="00E25A5D"/>
    <w:rsid w:val="00E26959"/>
    <w:rsid w:val="00E26960"/>
    <w:rsid w:val="00E26FA9"/>
    <w:rsid w:val="00E2720B"/>
    <w:rsid w:val="00E276CE"/>
    <w:rsid w:val="00E2780F"/>
    <w:rsid w:val="00E27910"/>
    <w:rsid w:val="00E27D05"/>
    <w:rsid w:val="00E27F9B"/>
    <w:rsid w:val="00E300C2"/>
    <w:rsid w:val="00E3057F"/>
    <w:rsid w:val="00E31F45"/>
    <w:rsid w:val="00E32B29"/>
    <w:rsid w:val="00E331E0"/>
    <w:rsid w:val="00E33717"/>
    <w:rsid w:val="00E33ABD"/>
    <w:rsid w:val="00E3482C"/>
    <w:rsid w:val="00E34A05"/>
    <w:rsid w:val="00E35B58"/>
    <w:rsid w:val="00E360E7"/>
    <w:rsid w:val="00E36478"/>
    <w:rsid w:val="00E36908"/>
    <w:rsid w:val="00E37C84"/>
    <w:rsid w:val="00E402A1"/>
    <w:rsid w:val="00E40AA3"/>
    <w:rsid w:val="00E413E3"/>
    <w:rsid w:val="00E419F3"/>
    <w:rsid w:val="00E41C94"/>
    <w:rsid w:val="00E425EE"/>
    <w:rsid w:val="00E42B33"/>
    <w:rsid w:val="00E42C21"/>
    <w:rsid w:val="00E437D2"/>
    <w:rsid w:val="00E43942"/>
    <w:rsid w:val="00E43CCD"/>
    <w:rsid w:val="00E43E1E"/>
    <w:rsid w:val="00E44258"/>
    <w:rsid w:val="00E442C5"/>
    <w:rsid w:val="00E443A8"/>
    <w:rsid w:val="00E444A6"/>
    <w:rsid w:val="00E44792"/>
    <w:rsid w:val="00E44BCB"/>
    <w:rsid w:val="00E450BC"/>
    <w:rsid w:val="00E4681A"/>
    <w:rsid w:val="00E46D16"/>
    <w:rsid w:val="00E47931"/>
    <w:rsid w:val="00E47AEF"/>
    <w:rsid w:val="00E47FAF"/>
    <w:rsid w:val="00E5030A"/>
    <w:rsid w:val="00E50859"/>
    <w:rsid w:val="00E515B6"/>
    <w:rsid w:val="00E51C99"/>
    <w:rsid w:val="00E51FFD"/>
    <w:rsid w:val="00E5200D"/>
    <w:rsid w:val="00E527AA"/>
    <w:rsid w:val="00E52906"/>
    <w:rsid w:val="00E532A6"/>
    <w:rsid w:val="00E5454B"/>
    <w:rsid w:val="00E54643"/>
    <w:rsid w:val="00E5498A"/>
    <w:rsid w:val="00E5532B"/>
    <w:rsid w:val="00E5550E"/>
    <w:rsid w:val="00E55B05"/>
    <w:rsid w:val="00E55C34"/>
    <w:rsid w:val="00E55D1D"/>
    <w:rsid w:val="00E55D77"/>
    <w:rsid w:val="00E56A08"/>
    <w:rsid w:val="00E56B62"/>
    <w:rsid w:val="00E57AB0"/>
    <w:rsid w:val="00E57BC5"/>
    <w:rsid w:val="00E60463"/>
    <w:rsid w:val="00E608C2"/>
    <w:rsid w:val="00E609A1"/>
    <w:rsid w:val="00E6162D"/>
    <w:rsid w:val="00E61EDA"/>
    <w:rsid w:val="00E62982"/>
    <w:rsid w:val="00E62DA6"/>
    <w:rsid w:val="00E63065"/>
    <w:rsid w:val="00E63B3F"/>
    <w:rsid w:val="00E63E52"/>
    <w:rsid w:val="00E645F9"/>
    <w:rsid w:val="00E646BF"/>
    <w:rsid w:val="00E64F5A"/>
    <w:rsid w:val="00E6548A"/>
    <w:rsid w:val="00E66DB7"/>
    <w:rsid w:val="00E66F50"/>
    <w:rsid w:val="00E674B6"/>
    <w:rsid w:val="00E67AAF"/>
    <w:rsid w:val="00E67C87"/>
    <w:rsid w:val="00E7135A"/>
    <w:rsid w:val="00E71647"/>
    <w:rsid w:val="00E71995"/>
    <w:rsid w:val="00E72157"/>
    <w:rsid w:val="00E72324"/>
    <w:rsid w:val="00E72363"/>
    <w:rsid w:val="00E73464"/>
    <w:rsid w:val="00E74147"/>
    <w:rsid w:val="00E743E8"/>
    <w:rsid w:val="00E74DAD"/>
    <w:rsid w:val="00E75441"/>
    <w:rsid w:val="00E75788"/>
    <w:rsid w:val="00E75931"/>
    <w:rsid w:val="00E76D76"/>
    <w:rsid w:val="00E776FC"/>
    <w:rsid w:val="00E7784A"/>
    <w:rsid w:val="00E779D7"/>
    <w:rsid w:val="00E77C5C"/>
    <w:rsid w:val="00E8047E"/>
    <w:rsid w:val="00E80956"/>
    <w:rsid w:val="00E80E60"/>
    <w:rsid w:val="00E81D28"/>
    <w:rsid w:val="00E81D8D"/>
    <w:rsid w:val="00E81F1B"/>
    <w:rsid w:val="00E81FDB"/>
    <w:rsid w:val="00E8207F"/>
    <w:rsid w:val="00E821CF"/>
    <w:rsid w:val="00E8251E"/>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BF5"/>
    <w:rsid w:val="00E90DF9"/>
    <w:rsid w:val="00E90E4D"/>
    <w:rsid w:val="00E90ED2"/>
    <w:rsid w:val="00E912C6"/>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EED"/>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541"/>
    <w:rsid w:val="00EB2706"/>
    <w:rsid w:val="00EB3148"/>
    <w:rsid w:val="00EB3663"/>
    <w:rsid w:val="00EB512D"/>
    <w:rsid w:val="00EB58C4"/>
    <w:rsid w:val="00EB58C7"/>
    <w:rsid w:val="00EB621B"/>
    <w:rsid w:val="00EB6310"/>
    <w:rsid w:val="00EB643B"/>
    <w:rsid w:val="00EB6D48"/>
    <w:rsid w:val="00EB6EA5"/>
    <w:rsid w:val="00EB73DA"/>
    <w:rsid w:val="00EC07E1"/>
    <w:rsid w:val="00EC15BC"/>
    <w:rsid w:val="00EC1AAF"/>
    <w:rsid w:val="00EC21BB"/>
    <w:rsid w:val="00EC28D1"/>
    <w:rsid w:val="00EC363B"/>
    <w:rsid w:val="00EC3F40"/>
    <w:rsid w:val="00EC3FEB"/>
    <w:rsid w:val="00EC4171"/>
    <w:rsid w:val="00EC444E"/>
    <w:rsid w:val="00EC488F"/>
    <w:rsid w:val="00EC5A9B"/>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3FE5"/>
    <w:rsid w:val="00ED420A"/>
    <w:rsid w:val="00ED4A1B"/>
    <w:rsid w:val="00ED4BC6"/>
    <w:rsid w:val="00ED5CC0"/>
    <w:rsid w:val="00ED5D50"/>
    <w:rsid w:val="00ED6BC8"/>
    <w:rsid w:val="00ED707F"/>
    <w:rsid w:val="00ED7AC1"/>
    <w:rsid w:val="00EE08C0"/>
    <w:rsid w:val="00EE0E0C"/>
    <w:rsid w:val="00EE1136"/>
    <w:rsid w:val="00EE1770"/>
    <w:rsid w:val="00EE18C7"/>
    <w:rsid w:val="00EE2248"/>
    <w:rsid w:val="00EE343D"/>
    <w:rsid w:val="00EE3A90"/>
    <w:rsid w:val="00EE40F7"/>
    <w:rsid w:val="00EE46FE"/>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C58"/>
    <w:rsid w:val="00EF6F55"/>
    <w:rsid w:val="00EF706A"/>
    <w:rsid w:val="00EF7378"/>
    <w:rsid w:val="00EF76F3"/>
    <w:rsid w:val="00EF7A64"/>
    <w:rsid w:val="00F00E5F"/>
    <w:rsid w:val="00F0143D"/>
    <w:rsid w:val="00F027FD"/>
    <w:rsid w:val="00F02F67"/>
    <w:rsid w:val="00F03450"/>
    <w:rsid w:val="00F03B76"/>
    <w:rsid w:val="00F03CAF"/>
    <w:rsid w:val="00F03D26"/>
    <w:rsid w:val="00F03E7C"/>
    <w:rsid w:val="00F040E7"/>
    <w:rsid w:val="00F04793"/>
    <w:rsid w:val="00F04E8C"/>
    <w:rsid w:val="00F05069"/>
    <w:rsid w:val="00F05BEC"/>
    <w:rsid w:val="00F05F67"/>
    <w:rsid w:val="00F062B5"/>
    <w:rsid w:val="00F063E1"/>
    <w:rsid w:val="00F06846"/>
    <w:rsid w:val="00F06989"/>
    <w:rsid w:val="00F070E2"/>
    <w:rsid w:val="00F07553"/>
    <w:rsid w:val="00F07A23"/>
    <w:rsid w:val="00F07F63"/>
    <w:rsid w:val="00F10850"/>
    <w:rsid w:val="00F10E1B"/>
    <w:rsid w:val="00F114B6"/>
    <w:rsid w:val="00F11737"/>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2FA"/>
    <w:rsid w:val="00F20BDA"/>
    <w:rsid w:val="00F21A4C"/>
    <w:rsid w:val="00F21B8F"/>
    <w:rsid w:val="00F21E53"/>
    <w:rsid w:val="00F22398"/>
    <w:rsid w:val="00F23144"/>
    <w:rsid w:val="00F23729"/>
    <w:rsid w:val="00F23827"/>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69F"/>
    <w:rsid w:val="00F34A6C"/>
    <w:rsid w:val="00F34B44"/>
    <w:rsid w:val="00F35702"/>
    <w:rsid w:val="00F360C1"/>
    <w:rsid w:val="00F363C3"/>
    <w:rsid w:val="00F363F3"/>
    <w:rsid w:val="00F36769"/>
    <w:rsid w:val="00F36CB5"/>
    <w:rsid w:val="00F36EA7"/>
    <w:rsid w:val="00F37F3C"/>
    <w:rsid w:val="00F40BCB"/>
    <w:rsid w:val="00F40D32"/>
    <w:rsid w:val="00F40F33"/>
    <w:rsid w:val="00F418DD"/>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75"/>
    <w:rsid w:val="00F50AA0"/>
    <w:rsid w:val="00F51276"/>
    <w:rsid w:val="00F51CD4"/>
    <w:rsid w:val="00F51F24"/>
    <w:rsid w:val="00F525FD"/>
    <w:rsid w:val="00F52E8C"/>
    <w:rsid w:val="00F535A2"/>
    <w:rsid w:val="00F53BC0"/>
    <w:rsid w:val="00F53F1E"/>
    <w:rsid w:val="00F5490C"/>
    <w:rsid w:val="00F55417"/>
    <w:rsid w:val="00F5606F"/>
    <w:rsid w:val="00F56804"/>
    <w:rsid w:val="00F56E8B"/>
    <w:rsid w:val="00F57A3D"/>
    <w:rsid w:val="00F600F6"/>
    <w:rsid w:val="00F60279"/>
    <w:rsid w:val="00F61EC6"/>
    <w:rsid w:val="00F62579"/>
    <w:rsid w:val="00F6346D"/>
    <w:rsid w:val="00F65530"/>
    <w:rsid w:val="00F6585D"/>
    <w:rsid w:val="00F65CE2"/>
    <w:rsid w:val="00F66587"/>
    <w:rsid w:val="00F66717"/>
    <w:rsid w:val="00F66992"/>
    <w:rsid w:val="00F672BB"/>
    <w:rsid w:val="00F67472"/>
    <w:rsid w:val="00F67AC3"/>
    <w:rsid w:val="00F7027D"/>
    <w:rsid w:val="00F703A4"/>
    <w:rsid w:val="00F70418"/>
    <w:rsid w:val="00F70D1C"/>
    <w:rsid w:val="00F7117D"/>
    <w:rsid w:val="00F711CA"/>
    <w:rsid w:val="00F71A33"/>
    <w:rsid w:val="00F71B15"/>
    <w:rsid w:val="00F7246A"/>
    <w:rsid w:val="00F725B0"/>
    <w:rsid w:val="00F72D9D"/>
    <w:rsid w:val="00F72EAC"/>
    <w:rsid w:val="00F72ED2"/>
    <w:rsid w:val="00F73BAB"/>
    <w:rsid w:val="00F73C50"/>
    <w:rsid w:val="00F7579F"/>
    <w:rsid w:val="00F75AEE"/>
    <w:rsid w:val="00F768F2"/>
    <w:rsid w:val="00F76F71"/>
    <w:rsid w:val="00F77234"/>
    <w:rsid w:val="00F772F4"/>
    <w:rsid w:val="00F774C2"/>
    <w:rsid w:val="00F77514"/>
    <w:rsid w:val="00F77534"/>
    <w:rsid w:val="00F77F7B"/>
    <w:rsid w:val="00F77FB4"/>
    <w:rsid w:val="00F801F7"/>
    <w:rsid w:val="00F8097F"/>
    <w:rsid w:val="00F80981"/>
    <w:rsid w:val="00F81390"/>
    <w:rsid w:val="00F813F9"/>
    <w:rsid w:val="00F81615"/>
    <w:rsid w:val="00F8191B"/>
    <w:rsid w:val="00F82180"/>
    <w:rsid w:val="00F8292B"/>
    <w:rsid w:val="00F82A05"/>
    <w:rsid w:val="00F83F8E"/>
    <w:rsid w:val="00F84282"/>
    <w:rsid w:val="00F843A4"/>
    <w:rsid w:val="00F8466F"/>
    <w:rsid w:val="00F84E0B"/>
    <w:rsid w:val="00F850A0"/>
    <w:rsid w:val="00F85E94"/>
    <w:rsid w:val="00F86516"/>
    <w:rsid w:val="00F87227"/>
    <w:rsid w:val="00F87874"/>
    <w:rsid w:val="00F9033D"/>
    <w:rsid w:val="00F90DFC"/>
    <w:rsid w:val="00F91A6A"/>
    <w:rsid w:val="00F929B3"/>
    <w:rsid w:val="00F92E92"/>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20B5"/>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21C"/>
    <w:rsid w:val="00FC36E4"/>
    <w:rsid w:val="00FC3C34"/>
    <w:rsid w:val="00FC3FFD"/>
    <w:rsid w:val="00FC445E"/>
    <w:rsid w:val="00FC465B"/>
    <w:rsid w:val="00FC46F7"/>
    <w:rsid w:val="00FC4A63"/>
    <w:rsid w:val="00FC4C42"/>
    <w:rsid w:val="00FC5276"/>
    <w:rsid w:val="00FC5B1C"/>
    <w:rsid w:val="00FC5C29"/>
    <w:rsid w:val="00FC5F8C"/>
    <w:rsid w:val="00FC6068"/>
    <w:rsid w:val="00FC7009"/>
    <w:rsid w:val="00FC731C"/>
    <w:rsid w:val="00FC7650"/>
    <w:rsid w:val="00FC776A"/>
    <w:rsid w:val="00FC7B87"/>
    <w:rsid w:val="00FD05F1"/>
    <w:rsid w:val="00FD0F1A"/>
    <w:rsid w:val="00FD115A"/>
    <w:rsid w:val="00FD175F"/>
    <w:rsid w:val="00FD2727"/>
    <w:rsid w:val="00FD28F6"/>
    <w:rsid w:val="00FD2E78"/>
    <w:rsid w:val="00FD36AA"/>
    <w:rsid w:val="00FD39CE"/>
    <w:rsid w:val="00FD3CEC"/>
    <w:rsid w:val="00FD418C"/>
    <w:rsid w:val="00FD52A0"/>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55EA"/>
    <w:rsid w:val="00FE695C"/>
    <w:rsid w:val="00FE6C70"/>
    <w:rsid w:val="00FE6CDA"/>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5035D"/>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link w:val="Char0"/>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1"/>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2"/>
    <w:semiHidden/>
    <w:pPr>
      <w:shd w:val="clear" w:color="auto" w:fill="000080"/>
    </w:pPr>
    <w:rPr>
      <w:rFonts w:ascii="Tahoma" w:hAnsi="Tahoma"/>
    </w:rPr>
  </w:style>
  <w:style w:type="paragraph" w:styleId="af1">
    <w:name w:val="Plain Text"/>
    <w:basedOn w:val="a1"/>
    <w:link w:val="Char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4"/>
  </w:style>
  <w:style w:type="character" w:customStyle="1" w:styleId="Char4">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5"/>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6"/>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7">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8"/>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8">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9"/>
    <w:rsid w:val="00590EBF"/>
    <w:pPr>
      <w:ind w:leftChars="2500" w:left="100"/>
    </w:pPr>
  </w:style>
  <w:style w:type="character" w:customStyle="1" w:styleId="Char9">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1">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a">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3">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2">
    <w:name w:val="文档结构图 Char"/>
    <w:link w:val="af0"/>
    <w:semiHidden/>
    <w:rsid w:val="00755136"/>
    <w:rPr>
      <w:rFonts w:ascii="Tahoma" w:eastAsia="Times New Roman" w:hAnsi="Tahoma"/>
      <w:shd w:val="clear" w:color="auto" w:fill="000080"/>
      <w:lang w:val="en-GB" w:eastAsia="en-US"/>
    </w:rPr>
  </w:style>
  <w:style w:type="character" w:customStyle="1" w:styleId="Char5">
    <w:name w:val="批注文字 Char"/>
    <w:link w:val="af5"/>
    <w:semiHidden/>
    <w:rsid w:val="00755136"/>
    <w:rPr>
      <w:rFonts w:ascii="–¾’©" w:eastAsia="–¾’©"/>
      <w:sz w:val="24"/>
      <w:lang w:val="en-GB" w:eastAsia="en-US"/>
    </w:rPr>
  </w:style>
  <w:style w:type="character" w:customStyle="1" w:styleId="Char6">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b"/>
    <w:rsid w:val="00755136"/>
    <w:pPr>
      <w:overflowPunct/>
      <w:autoSpaceDE/>
      <w:autoSpaceDN/>
      <w:adjustRightInd/>
      <w:snapToGrid w:val="0"/>
      <w:textAlignment w:val="auto"/>
    </w:pPr>
  </w:style>
  <w:style w:type="character" w:customStyle="1" w:styleId="Charb">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c"/>
    <w:qFormat/>
    <w:rsid w:val="00755136"/>
    <w:pPr>
      <w:spacing w:before="240" w:after="60"/>
      <w:outlineLvl w:val="0"/>
    </w:pPr>
    <w:rPr>
      <w:rFonts w:ascii="Courier New" w:hAnsi="Courier New"/>
      <w:lang w:val="nb-NO" w:eastAsia="ja-JP"/>
    </w:rPr>
  </w:style>
  <w:style w:type="character" w:customStyle="1" w:styleId="Charc">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1"/>
    <w:link w:val="Chard"/>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d">
    <w:name w:val="列出段落 Char"/>
    <w:aliases w:val="- Bullets Char,?? ?? Char,????? Char,???? Char,Lista1 Char,목록 단락 Char,リスト段落 Char,列出段落1 Char,中等深浅网格 1 - 着色 21 Char,R4_bullets Char,列表段落1 Char,—ño’i—Ž Char,¥¡¡¡¡ì¬º¥¹¥È¶ÎÂä Char,ÁÐ³ö¶ÎÂä Char,¥ê¥¹¥È¶ÎÂä Char,Lettre d'introduction Char,목록단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Char0">
    <w:name w:val="列表项目符号 Char"/>
    <w:link w:val="ab"/>
    <w:qFormat/>
    <w:rsid w:val="00C44AB9"/>
    <w:rPr>
      <w:rFonts w:eastAsia="宋体"/>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680B51-14E7-4248-8DC9-006A98B12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241</TotalTime>
  <Pages>8</Pages>
  <Words>3901</Words>
  <Characters>22239</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26088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
  <cp:keywords/>
  <cp:lastModifiedBy>Gao_2</cp:lastModifiedBy>
  <cp:revision>31</cp:revision>
  <cp:lastPrinted>2010-01-07T02:23:00Z</cp:lastPrinted>
  <dcterms:created xsi:type="dcterms:W3CDTF">2024-04-08T07:01:00Z</dcterms:created>
  <dcterms:modified xsi:type="dcterms:W3CDTF">2024-04-08T15:11:00Z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(3)0eUFXbxrzwWL2LtApu3CmeXZUkEf2ViBCy7APzIUKTd8YhQQdIuKjv+SBga/eaGcFJvsGC6A
LfTU5ZpHmyF/vuzCH3tNd6e5MsLCt4InlXIIR1Q5nrhbo2lBIBIHkabVTmV9UTqXnV9WK1Av
6dwgmm1u/+JJkbgfAOyHjdZFKFEwS8cEI6xIzWKZNrKkWecDma0zWNm+OaQqpYOfN6ytVjAW
Bdn4ehnaB6u69HJCyW</vt:lpwstr>
  </property>
  <property fmtid="{D5CDD505-2E9C-101B-9397-08002B2CF9AE}" pid="15" name="_2015_ms_pID_725343_00">
    <vt:lpwstr>_2015_ms_pID_725343</vt:lpwstr>
  </property>
  <property fmtid="{D5CDD505-2E9C-101B-9397-08002B2CF9AE}" pid="16" name="_2015_ms_pID_7253431">
    <vt:lpwstr>QsdLPChCyfgIYTvtoAGPsriKdwHu/Xc7IvfJBBEvzq0hwdR0ud48ag
FykPQ+3YOSXH0uyVIv+LxtpSLqngYPQS2P2hIr04uJt1qfBaz1OVs+DQJ/P9bcCbS59Tjugs
RGFy6JIBKt9OPv1u04Vrc0YDwrpuIU/tJHX20Ig7gjI+Fy6tZnDjYpmoiiisz056g87Az6iL
ikORCKTyas3vaJ6DkcVbCJipP1OgrE3pflth</vt:lpwstr>
  </property>
  <property fmtid="{D5CDD505-2E9C-101B-9397-08002B2CF9AE}" pid="17" name="_2015_ms_pID_7253431_00">
    <vt:lpwstr>_2015_ms_pID_7253431</vt:lpwstr>
  </property>
  <property fmtid="{D5CDD505-2E9C-101B-9397-08002B2CF9AE}" pid="18" name="_2015_ms_pID_7253432">
    <vt:lpwstr>Zg==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1712589072</vt:lpwstr>
  </property>
</Properties>
</file>